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0" Type="http://schemas.openxmlformats.org/officeDocument/2006/relationships/officeDocument" Target="word/document.xml"/><Relationship Id="coreR0" Type="http://schemas.openxmlformats.org/package/2006/relationships/metadata/core-properties" Target="docProps/core.xml"/></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g="http://schemas.microsoft.com/office/word/2010/wordprocessingGroup" xmlns:wpc="http://schemas.microsoft.com/office/word/2010/wordprocessingCanvas" xmlns:r="http://schemas.openxmlformats.org/officeDocument/2006/relationships" xmlns:a="http://schemas.openxmlformats.org/drawingml/2006/main" xmlns:pic="http://schemas.openxmlformats.org/drawingml/2006/picture" xmlns:wp="http://schemas.openxmlformats.org/drawingml/2006/wordprocessingDrawing" xmlns:wp14="http://schemas.microsoft.com/office/word/2010/wordprocessingDrawing" mc:Ignorable="wp14">
  <w:body>
    <w:p>
      <w:pPr>
        <w:spacing w:lineRule="auto" w:line="240" w:after="0" w:beforeAutospacing="0" w:afterAutospacing="0"/>
        <w:ind w:left="851"/>
        <w:pStyle w:val="P0"/>
        <w:rPr>
          <w:rFonts w:ascii="Times New Roman" w:hAnsi="Times New Roman"/>
          <w:b w:val="1"/>
          <w:sz w:val="24"/>
        </w:rPr>
      </w:pPr>
      <w:r>
        <w:rPr>
          <w:rFonts w:ascii="Times New Roman" w:hAnsi="Times New Roman"/>
          <w:b w:val="1"/>
          <w:noProof w:val="1"/>
          <w:sz w:val="24"/>
          <w:lang w:val="en-US"/>
        </w:rPr>
        <w:drawing>
          <wp:inline>
            <wp:extent cx="466725" cy="542925"/>
            <wp:docPr id="1" name="Picture 1"/>
            <wp:cNvGraphicFramePr>
              <a:graphicFrameLocks noChangeAspect="1"/>
            </wp:cNvGraphicFramePr>
            <a:graphic>
              <a:graphicData uri="http://schemas.openxmlformats.org/drawingml/2006/picture">
                <pic:pic>
                  <pic:nvPicPr>
                    <pic:cNvPr id="1" name="Picture 2"/>
                    <pic:cNvPicPr/>
                  </pic:nvPicPr>
                  <pic:blipFill>
                    <a:blip r:embed="Image2"/>
                    <a:stretch>
                      <a:fillRect/>
                    </a:stretch>
                  </pic:blipFill>
                  <pic:spPr>
                    <a:xfrm>
                      <a:off x="0" y="0"/>
                      <a:ext cx="466725" cy="542925"/>
                    </a:xfrm>
                    <a:prstGeom prst="rect"/>
                    <a:noFill/>
                  </pic:spPr>
                </pic:pic>
              </a:graphicData>
            </a:graphic>
          </wp:inline>
        </w:drawing>
      </w:r>
      <w:r>
        <w:rPr>
          <w:rFonts w:ascii="Times New Roman" w:hAnsi="Times New Roman"/>
          <w:b w:val="1"/>
          <w:sz w:val="24"/>
        </w:rPr>
        <w:t xml:space="preserve">     </w:t>
      </w:r>
    </w:p>
    <w:p>
      <w:pPr>
        <w:spacing w:lineRule="auto" w:line="240" w:after="0" w:beforeAutospacing="0" w:afterAutospacing="0"/>
        <w:pStyle w:val="P0"/>
        <w:rPr>
          <w:rFonts w:ascii="Times New Roman" w:hAnsi="Times New Roman"/>
          <w:b w:val="1"/>
          <w:sz w:val="24"/>
        </w:rPr>
      </w:pPr>
    </w:p>
    <w:p>
      <w:pPr>
        <w:spacing w:lineRule="auto" w:line="240" w:after="0" w:beforeAutospacing="0" w:afterAutospacing="0"/>
        <w:pStyle w:val="P0"/>
        <w:rPr>
          <w:rFonts w:ascii="Times New Roman" w:hAnsi="Times New Roman"/>
          <w:b w:val="1"/>
          <w:sz w:val="24"/>
        </w:rPr>
      </w:pPr>
      <w:r>
        <w:rPr>
          <w:rFonts w:ascii="Times New Roman" w:hAnsi="Times New Roman"/>
          <w:b w:val="1"/>
          <w:sz w:val="24"/>
        </w:rPr>
        <w:t xml:space="preserve">REPUBLIKA HRVATSKA</w:t>
      </w:r>
    </w:p>
    <w:p>
      <w:pPr>
        <w:spacing w:lineRule="auto" w:line="240" w:after="0" w:beforeAutospacing="0" w:afterAutospacing="0"/>
        <w:pStyle w:val="P0"/>
        <w:rPr>
          <w:rFonts w:ascii="Times New Roman" w:hAnsi="Times New Roman"/>
          <w:b w:val="1"/>
          <w:sz w:val="24"/>
        </w:rPr>
      </w:pPr>
      <w:r>
        <w:rPr>
          <w:rFonts w:ascii="Times New Roman" w:hAnsi="Times New Roman"/>
          <w:b w:val="1"/>
          <w:noProof w:val="1"/>
          <w:sz w:val="24"/>
        </w:rPr>
        <w:t>DUBROVAČKO-NERETVANSKA</w:t>
      </w:r>
      <w:r>
        <w:rPr>
          <w:rFonts w:ascii="Times New Roman" w:hAnsi="Times New Roman"/>
          <w:b w:val="1"/>
          <w:noProof w:val="1"/>
          <w:sz w:val="24"/>
        </w:rPr>
        <w:t xml:space="preserve"> </w:t>
      </w:r>
      <w:r>
        <w:rPr>
          <w:rFonts w:ascii="Times New Roman" w:hAnsi="Times New Roman"/>
          <w:b w:val="1"/>
          <w:noProof w:val="1"/>
          <w:sz w:val="24"/>
        </w:rPr>
        <w:t>ŽUPANIJA</w:t>
      </w:r>
    </w:p>
    <w:p>
      <w:pPr>
        <w:spacing w:lineRule="auto" w:line="240" w:after="0" w:beforeAutospacing="0" w:afterAutospacing="0"/>
        <w:pStyle w:val="P0"/>
        <w:rPr>
          <w:rFonts w:ascii="Times New Roman" w:hAnsi="Times New Roman"/>
          <w:b w:val="1"/>
          <w:sz w:val="24"/>
        </w:rPr>
      </w:pPr>
    </w:p>
    <w:p>
      <w:pPr>
        <w:spacing w:lineRule="auto" w:line="240" w:after="0" w:beforeAutospacing="0" w:afterAutospacing="0"/>
        <w:pStyle w:val="P0"/>
        <w:rPr>
          <w:rFonts w:ascii="Times New Roman" w:hAnsi="Times New Roman"/>
          <w:sz w:val="24"/>
        </w:rPr>
      </w:pPr>
      <w:r>
        <w:rPr>
          <w:rFonts w:ascii="Times New Roman" w:hAnsi="Times New Roman"/>
          <w:sz w:val="24"/>
        </w:rPr>
        <w:t xml:space="preserve">KLASA: </w:t>
      </w:r>
      <w:r>
        <w:rPr>
          <w:rFonts w:ascii="Times New Roman" w:hAnsi="Times New Roman"/>
          <w:sz w:val="24"/>
        </w:rPr>
        <w:tab/>
      </w:r>
      <w:r>
        <w:rPr>
          <w:rFonts w:ascii="Times New Roman" w:hAnsi="Times New Roman"/>
          <w:sz w:val="24"/>
        </w:rPr>
        <w:t>940-06/26-02/2</w:t>
      </w:r>
    </w:p>
    <w:p>
      <w:pPr>
        <w:spacing w:lineRule="auto" w:line="240" w:after="0" w:beforeAutospacing="0" w:afterAutospacing="0"/>
        <w:pStyle w:val="P0"/>
        <w:rPr>
          <w:rFonts w:ascii="Times New Roman" w:hAnsi="Times New Roman"/>
          <w:sz w:val="24"/>
        </w:rPr>
      </w:pPr>
      <w:r>
        <w:rPr>
          <w:rFonts w:ascii="Times New Roman" w:hAnsi="Times New Roman"/>
          <w:sz w:val="24"/>
        </w:rPr>
        <w:t xml:space="preserve">URBROJ: </w:t>
      </w:r>
      <w:r>
        <w:rPr>
          <w:rFonts w:ascii="Times New Roman" w:hAnsi="Times New Roman"/>
          <w:sz w:val="24"/>
        </w:rPr>
        <w:tab/>
      </w:r>
      <w:r>
        <w:rPr>
          <w:rFonts w:ascii="Times New Roman" w:hAnsi="Times New Roman"/>
          <w:noProof w:val="1"/>
          <w:sz w:val="24"/>
        </w:rPr>
        <w:t>2117-11</w:t>
      </w:r>
      <w:r>
        <w:rPr>
          <w:rFonts w:ascii="Times New Roman" w:hAnsi="Times New Roman"/>
          <w:noProof w:val="1"/>
          <w:sz w:val="24"/>
        </w:rPr>
        <w:t>/</w:t>
      </w:r>
      <w:r>
        <w:rPr>
          <w:rFonts w:ascii="Times New Roman" w:hAnsi="Times New Roman"/>
          <w:noProof w:val="1"/>
          <w:sz w:val="24"/>
        </w:rPr>
        <w:t>2-26-2</w:t>
      </w:r>
    </w:p>
    <w:p>
      <w:pPr>
        <w:spacing w:lineRule="auto" w:line="240" w:after="0" w:beforeAutospacing="0" w:afterAutospacing="0"/>
        <w:pStyle w:val="P0"/>
        <w:rPr>
          <w:rFonts w:ascii="Times New Roman" w:hAnsi="Times New Roman"/>
          <w:sz w:val="24"/>
        </w:rPr>
      </w:pPr>
      <w:r>
        <w:rPr>
          <w:rFonts w:ascii="Times New Roman" w:hAnsi="Times New Roman"/>
          <w:noProof w:val="1"/>
          <w:sz w:val="24"/>
        </w:rPr>
        <w:t>Dubrovnik</w:t>
      </w:r>
      <w:r>
        <w:rPr>
          <w:rFonts w:ascii="Times New Roman" w:hAnsi="Times New Roman"/>
          <w:sz w:val="24"/>
        </w:rPr>
        <w:t xml:space="preserve">, </w:t>
      </w:r>
      <w:r>
        <w:rPr>
          <w:rFonts w:ascii="Times New Roman" w:hAnsi="Times New Roman"/>
          <w:sz w:val="24"/>
        </w:rPr>
        <w:tab/>
      </w:r>
      <w:r>
        <w:rPr>
          <w:rFonts w:ascii="Times New Roman" w:hAnsi="Times New Roman"/>
          <w:noProof w:val="1"/>
          <w:sz w:val="24"/>
        </w:rPr>
        <w:t>28</w:t>
      </w:r>
      <w:r>
        <w:rPr>
          <w:rFonts w:ascii="Times New Roman" w:hAnsi="Times New Roman"/>
          <w:noProof w:val="1"/>
          <w:sz w:val="24"/>
        </w:rPr>
        <w:t>.</w:t>
      </w:r>
      <w:r>
        <w:rPr>
          <w:rFonts w:ascii="Times New Roman" w:hAnsi="Times New Roman"/>
          <w:noProof w:val="1"/>
          <w:sz w:val="24"/>
        </w:rPr>
        <w:t xml:space="preserve"> </w:t>
      </w:r>
      <w:r>
        <w:rPr>
          <w:rFonts w:ascii="Times New Roman" w:hAnsi="Times New Roman"/>
          <w:noProof w:val="1"/>
          <w:sz w:val="24"/>
        </w:rPr>
        <w:t>srpnja</w:t>
      </w:r>
      <w:r>
        <w:rPr>
          <w:rFonts w:ascii="Times New Roman" w:hAnsi="Times New Roman"/>
          <w:noProof w:val="1"/>
          <w:sz w:val="24"/>
        </w:rPr>
        <w:t xml:space="preserve"> </w:t>
      </w:r>
      <w:r>
        <w:rPr>
          <w:rFonts w:ascii="Times New Roman" w:hAnsi="Times New Roman"/>
          <w:sz w:val="24"/>
        </w:rPr>
        <w:t>2026.</w:t>
      </w:r>
    </w:p>
    <w:p>
      <w:pPr>
        <w:spacing w:lineRule="auto" w:line="240" w:after="0" w:beforeAutospacing="0" w:afterAutospacing="0"/>
        <w:pStyle w:val="P0"/>
        <w:rPr>
          <w:rFonts w:ascii="Times New Roman" w:hAnsi="Times New Roman"/>
          <w:sz w:val="24"/>
        </w:rPr>
      </w:pPr>
    </w:p>
    <w:p>
      <w:pPr>
        <w:jc w:val="both"/>
        <w:spacing w:lineRule="auto" w:line="240" w:beforeAutospacing="0" w:afterAutospacing="0"/>
        <w:pStyle w:val="P0"/>
        <w:rPr>
          <w:rFonts w:ascii="Times New Roman" w:hAnsi="Times New Roman"/>
          <w:sz w:val="24"/>
        </w:rPr>
      </w:pPr>
      <w:r>
        <w:rPr>
          <w:rFonts w:ascii="Times New Roman" w:hAnsi="Times New Roman"/>
          <w:sz w:val="24"/>
        </w:rPr>
        <w:t xml:space="preserve">Na temelju članka 13. stavka 3 i članka 36. stavka 1. Zakona o upravljanju nekretninama i pokretnima u vlasništvu Republike Hrvatske („Narodne novine“, broj: 155/23.), članka 9. stavka 4. Pravilnika o postupanju s viškom iskopa koji predstavlja mineralnu sirovinu kod izvođenja građevinskih radova („Narodne novine“ broj: 84/24.i 124/24.), te točke I. Odluke o načinu i postupku provedbe javnog nadmetanja za prodaju mineralne sirovine iz viška iskopa („Službeni glasnik Dubrovačko-neretvanske županije“, broj 2/25) i Odluke Župana Dubrovačko-neretvanske županije, KLASA: 940-06/26-02/2, URBROJ: 2117-01-26-1 od 17. srpnja 2026., Republika Hrvatska kao vlasnik, putem Dubrovačko-neretvanske županije OIB: 32082115313, objavljuje</w:t>
      </w:r>
    </w:p>
    <w:p>
      <w:pPr>
        <w:jc w:val="both"/>
        <w:spacing w:lineRule="auto" w:line="240" w:beforeAutospacing="0" w:afterAutospacing="0"/>
        <w:pStyle w:val="P0"/>
        <w:rPr>
          <w:rFonts w:ascii="Times New Roman" w:hAnsi="Times New Roman"/>
          <w:sz w:val="24"/>
        </w:rPr>
      </w:pPr>
      <w:r>
        <w:rPr>
          <w:rFonts w:ascii="Times New Roman" w:hAnsi="Times New Roman"/>
          <w:sz w:val="24"/>
        </w:rPr>
        <w:t xml:space="preserve"> </w:t>
      </w:r>
    </w:p>
    <w:p>
      <w:pPr>
        <w:jc w:val="center"/>
        <w:spacing w:lineRule="auto" w:line="240" w:after="0" w:beforeAutospacing="0" w:afterAutospacing="0"/>
        <w:pStyle w:val="P0"/>
        <w:rPr>
          <w:rFonts w:ascii="Times New Roman" w:hAnsi="Times New Roman"/>
          <w:sz w:val="24"/>
        </w:rPr>
      </w:pPr>
      <w:r>
        <w:rPr>
          <w:rFonts w:ascii="Times New Roman" w:hAnsi="Times New Roman"/>
          <w:b w:val="1"/>
          <w:sz w:val="24"/>
        </w:rPr>
        <w:t xml:space="preserve">JAVNI POZIV  br. 1/26</w:t>
      </w:r>
    </w:p>
    <w:p>
      <w:pPr>
        <w:jc w:val="center"/>
        <w:spacing w:lineRule="auto" w:line="240" w:after="0" w:beforeAutospacing="0" w:afterAutospacing="0"/>
        <w:pStyle w:val="P0"/>
        <w:rPr>
          <w:rFonts w:ascii="Times New Roman" w:hAnsi="Times New Roman"/>
          <w:sz w:val="24"/>
        </w:rPr>
      </w:pPr>
      <w:r>
        <w:rPr>
          <w:rFonts w:ascii="Times New Roman" w:hAnsi="Times New Roman"/>
          <w:b w:val="1"/>
          <w:sz w:val="24"/>
        </w:rPr>
        <w:t xml:space="preserve">za javno nadmetanje prikupljanjem javnih ponuda putem usmene javne dražbe </w:t>
      </w:r>
    </w:p>
    <w:p>
      <w:pPr>
        <w:jc w:val="center"/>
        <w:spacing w:lineRule="auto" w:line="240" w:after="0" w:beforeAutospacing="0" w:afterAutospacing="0"/>
        <w:pStyle w:val="P0"/>
        <w:rPr>
          <w:rFonts w:ascii="Times New Roman" w:hAnsi="Times New Roman"/>
          <w:sz w:val="24"/>
        </w:rPr>
      </w:pPr>
      <w:r>
        <w:rPr>
          <w:rFonts w:ascii="Times New Roman" w:hAnsi="Times New Roman"/>
          <w:b w:val="1"/>
          <w:sz w:val="24"/>
        </w:rPr>
        <w:t xml:space="preserve">za prodaju mineralne sirovine iz viška iskopa  </w:t>
      </w:r>
    </w:p>
    <w:p>
      <w:pPr>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PREDMET POZIVA</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Pozivaju se zainteresirane osobe na javno nadmetanje prikupljanjem javnih ponuda putem usmene javne dražbe</w:t>
      </w:r>
      <w:r>
        <w:rPr>
          <w:rFonts w:ascii="Times New Roman" w:hAnsi="Times New Roman"/>
          <w:b w:val="1"/>
          <w:sz w:val="24"/>
        </w:rPr>
        <w:t xml:space="preserve"> </w:t>
      </w:r>
      <w:r>
        <w:rPr>
          <w:rFonts w:ascii="Times New Roman" w:hAnsi="Times New Roman"/>
          <w:sz w:val="24"/>
        </w:rPr>
        <w:t xml:space="preserve">za kupnju mineralne sirovine, tehničko-građevnog kamena, koji je nastao prilikom obavljanja građevinskih radova na području Grada Korčule</w:t>
      </w:r>
    </w:p>
    <w:p>
      <w:pPr>
        <w:spacing w:lineRule="auto" w:line="240" w:beforeAutospacing="0" w:afterAutospacing="0"/>
        <w:tabs>
          <w:tab w:val="left" w:pos="405" w:leader="none"/>
        </w:tabs>
        <w:pStyle w:val="P0"/>
        <w:rPr>
          <w:rFonts w:ascii="Times New Roman" w:hAnsi="Times New Roman"/>
          <w:sz w:val="24"/>
        </w:rPr>
      </w:pPr>
      <w:r>
        <w:rPr>
          <w:rFonts w:ascii="Times New Roman" w:hAnsi="Times New Roman"/>
          <w:sz w:val="24"/>
        </w:rPr>
        <w:tab/>
      </w:r>
    </w:p>
    <w:tbl>
      <w:tblPr>
        <w:tblStyle w:val="T0"/>
        <w:tblInd w:w="0" w:type="dxa"/>
        <w:tblLayout w:type="fixed"/>
        <w:tblW w:w="9246" w:type="dxa"/>
      </w:tblPr>
      <w:tblGrid/>
      <w:tr>
        <w:tc>
          <w:tcPr>
            <w:tcW w:w="1201"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Količina u m3</w:t>
            </w:r>
          </w:p>
        </w:tc>
        <w:tc>
          <w:tcPr>
            <w:tcW w:w="1413"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Katastarska općina (deponij-lokacija)</w:t>
            </w:r>
          </w:p>
        </w:tc>
        <w:tc>
          <w:tcPr>
            <w:tcW w:w="1360"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Katastarska čestica (deponij)</w:t>
            </w:r>
          </w:p>
        </w:tc>
        <w:tc>
          <w:tcPr>
            <w:tcW w:w="1108"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Početna cijena  po</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m³</w:t>
            </w:r>
          </w:p>
        </w:tc>
        <w:tc>
          <w:tcPr>
            <w:tcW w:w="1294"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Minimalna</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količina</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za  kupnju</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u m³ </w:t>
            </w:r>
          </w:p>
        </w:tc>
        <w:tc>
          <w:tcPr>
            <w:tcW w:w="1227"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*Iznos </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jamčevine</w:t>
            </w:r>
          </w:p>
        </w:tc>
        <w:tc>
          <w:tcPr>
            <w:tcW w:w="1644"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ODLUKA</w:t>
            </w:r>
          </w:p>
        </w:tc>
      </w:tr>
      <w:tr>
        <w:tc>
          <w:tcPr>
            <w:tcW w:w="1201"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15.000,00 m³</w:t>
            </w:r>
          </w:p>
        </w:tc>
        <w:tc>
          <w:tcPr>
            <w:tcW w:w="1413" w:type="dxa"/>
            <w:tcBorders>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Žrnovo</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(lokacija Zlopolje)</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 </w:t>
            </w:r>
          </w:p>
        </w:tc>
        <w:tc>
          <w:tcPr>
            <w:tcW w:w="1360" w:type="dxa"/>
            <w:tcBorders>
              <w:bottom w:val="single" w:sz="6" w:space="0" w:shadow="0" w:frame="0"/>
              <w:right w:val="single" w:sz="6" w:space="0" w:shadow="0" w:frame="0"/>
            </w:tcBorders>
            <w:tcMar>
              <w:top w:w="0" w:type="dxa"/>
              <w:left w:w="108" w:type="dxa"/>
              <w:bottom w:w="0" w:type="dxa"/>
              <w:right w:w="108" w:type="dxa"/>
            </w:tcMar>
            <w:vAlign w:val="top"/>
          </w:tcPr>
          <w:p>
            <w:pP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7667/1, 7667/2, 7667/3</w:t>
            </w:r>
          </w:p>
        </w:tc>
        <w:tc>
          <w:tcPr>
            <w:tcW w:w="1108" w:type="dxa"/>
            <w:tcBorders>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7,00  eura/ m³</w:t>
            </w:r>
          </w:p>
        </w:tc>
        <w:tc>
          <w:tcPr>
            <w:tcW w:w="1294" w:type="dxa"/>
            <w:tcBorders>
              <w:bottom w:val="single" w:sz="6" w:space="0" w:shadow="0" w:frame="0"/>
              <w:right w:val="single" w:sz="6" w:space="0" w:shadow="0" w:frame="0"/>
            </w:tcBorders>
            <w:tcMar>
              <w:top w:w="0" w:type="dxa"/>
              <w:left w:w="108" w:type="dxa"/>
              <w:bottom w:w="0" w:type="dxa"/>
              <w:right w:w="108" w:type="dxa"/>
            </w:tcMar>
            <w:vAlign w:val="top"/>
          </w:tcPr>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 xml:space="preserve">15.000,00 m³</w:t>
            </w:r>
          </w:p>
        </w:tc>
        <w:tc>
          <w:tcPr>
            <w:tcW w:w="1227" w:type="dxa"/>
            <w:tcBorders>
              <w:bottom w:val="single" w:sz="6" w:space="0" w:shadow="0" w:frame="0"/>
              <w:right w:val="single" w:sz="6" w:space="0" w:shadow="0" w:frame="0"/>
            </w:tcBorders>
            <w:tcMar>
              <w:top w:w="0" w:type="dxa"/>
              <w:left w:w="108" w:type="dxa"/>
              <w:bottom w:w="0" w:type="dxa"/>
              <w:right w:w="108" w:type="dxa"/>
            </w:tcMar>
            <w:vAlign w:val="top"/>
          </w:tcPr>
          <w:p>
            <w:pP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10.500,00</w:t>
            </w:r>
          </w:p>
          <w:p>
            <w:pPr>
              <w:jc w:val="cente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rPr>
              <w:t>eura</w:t>
            </w:r>
          </w:p>
        </w:tc>
        <w:tc>
          <w:tcPr>
            <w:tcW w:w="1644" w:type="dxa"/>
            <w:tcBorders>
              <w:bottom w:val="single" w:sz="6" w:space="0" w:shadow="0" w:frame="0"/>
              <w:right w:val="single" w:sz="6" w:space="0" w:shadow="0" w:frame="0"/>
            </w:tcBorders>
            <w:tcMar>
              <w:top w:w="0" w:type="dxa"/>
              <w:left w:w="108" w:type="dxa"/>
              <w:bottom w:w="0" w:type="dxa"/>
              <w:right w:w="108" w:type="dxa"/>
            </w:tcMar>
            <w:vAlign w:val="top"/>
          </w:tcPr>
          <w:p>
            <w:pP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u w:val="single"/>
              </w:rPr>
              <w:t>KLASA:</w:t>
            </w:r>
          </w:p>
          <w:p>
            <w:pP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u w:val="single"/>
              </w:rPr>
              <w:t xml:space="preserve">940- 06/26-02/2, URBROJ:</w:t>
            </w:r>
          </w:p>
          <w:p>
            <w:pPr>
              <w:spacing w:lineRule="auto" w:line="240" w:after="0" w:beforeAutospacing="0" w:afterAutospacing="0"/>
              <w:tabs>
                <w:tab w:val="left" w:pos="405" w:leader="none"/>
              </w:tabs>
              <w:pStyle w:val="P0"/>
              <w:rPr>
                <w:rFonts w:ascii="Times New Roman" w:hAnsi="Times New Roman"/>
                <w:sz w:val="24"/>
              </w:rPr>
            </w:pPr>
            <w:r>
              <w:rPr>
                <w:rFonts w:ascii="Times New Roman" w:hAnsi="Times New Roman"/>
                <w:sz w:val="24"/>
                <w:u w:val="single"/>
              </w:rPr>
              <w:t xml:space="preserve">2117-01-26-1 od 17. srpnja 2026.</w:t>
            </w:r>
          </w:p>
        </w:tc>
      </w:tr>
    </w:tbl>
    <w:p>
      <w:pPr>
        <w:spacing w:lineRule="auto" w:line="240" w:beforeAutospacing="0" w:afterAutospacing="0"/>
        <w:tabs>
          <w:tab w:val="left" w:pos="405" w:leader="none"/>
        </w:tabs>
        <w:pStyle w:val="P0"/>
        <w:rPr>
          <w:rFonts w:ascii="Times New Roman" w:hAnsi="Times New Roman"/>
          <w:sz w:val="24"/>
        </w:rPr>
      </w:pPr>
      <w:r>
        <w:rPr>
          <w:rFonts w:ascii="Times New Roman" w:hAnsi="Times New Roman"/>
          <w:sz w:val="24"/>
        </w:rPr>
        <w:t xml:space="preserve"> </w:t>
      </w:r>
    </w:p>
    <w:p>
      <w:pPr>
        <w:spacing w:lineRule="auto" w:line="240" w:beforeAutospacing="0" w:afterAutospacing="0"/>
        <w:pStyle w:val="P0"/>
        <w:rPr>
          <w:rFonts w:ascii="Times New Roman" w:hAnsi="Times New Roman"/>
          <w:sz w:val="24"/>
        </w:rPr>
      </w:pPr>
      <w:r>
        <w:rPr>
          <w:rFonts w:ascii="Times New Roman" w:hAnsi="Times New Roman"/>
          <w:sz w:val="24"/>
        </w:rPr>
        <w:t xml:space="preserve">*Jamčevina se obračunava prema formuli: količina x početna cijena/ m³  x 10%</w:t>
      </w:r>
    </w:p>
    <w:p>
      <w:pPr>
        <w:spacing w:lineRule="auto" w:line="240" w:beforeAutospacing="0" w:afterAutospacing="0"/>
        <w:pStyle w:val="P0"/>
        <w:rPr>
          <w:rFonts w:ascii="Times New Roman" w:hAnsi="Times New Roman"/>
          <w:sz w:val="24"/>
        </w:rPr>
      </w:pPr>
      <w:r>
        <w:rPr>
          <w:rFonts w:ascii="Times New Roman" w:hAnsi="Times New Roman"/>
          <w:sz w:val="24"/>
        </w:rPr>
        <w:t xml:space="preserve">(15.000,00 m3 x 7,00 eura x 10% =10.500,00 eura)</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Dražbeni korak javnog nadmetanja</w:t>
      </w:r>
      <w:r>
        <w:rPr>
          <w:rFonts w:ascii="Times New Roman" w:hAnsi="Times New Roman"/>
          <w:sz w:val="24"/>
        </w:rPr>
        <w:t xml:space="preserve">: </w:t>
      </w:r>
      <w:r>
        <w:rPr>
          <w:rFonts w:ascii="Times New Roman" w:hAnsi="Times New Roman"/>
          <w:b w:val="1"/>
          <w:sz w:val="24"/>
        </w:rPr>
        <w:t xml:space="preserve">2.100,00 eura</w:t>
      </w:r>
      <w:r>
        <w:rPr>
          <w:rFonts w:ascii="Times New Roman" w:hAnsi="Times New Roman"/>
          <w:sz w:val="24"/>
        </w:rPr>
        <w:t>.</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spacing w:lineRule="auto" w:line="240" w:beforeAutospacing="0" w:afterAutospacing="0"/>
        <w:pStyle w:val="P0"/>
        <w:rPr>
          <w:rFonts w:ascii="Times New Roman" w:hAnsi="Times New Roman"/>
          <w:sz w:val="24"/>
        </w:rPr>
      </w:pPr>
      <w:r>
        <w:rPr>
          <w:rFonts w:ascii="Times New Roman" w:hAnsi="Times New Roman"/>
          <w:b w:val="1"/>
          <w:sz w:val="24"/>
        </w:rPr>
        <w:t xml:space="preserve">ROK ZA PODNOŠENJE PRIJAVA</w:t>
      </w:r>
      <w:r>
        <w:rPr>
          <w:rFonts w:ascii="Times New Roman" w:hAnsi="Times New Roman"/>
          <w:sz w:val="24"/>
        </w:rPr>
        <w:t xml:space="preserve">:  petak, 11. rujna  2026. do 12:00 sati.</w:t>
      </w:r>
    </w:p>
    <w:p>
      <w:pPr>
        <w:jc w:val="both"/>
        <w:spacing w:lineRule="auto" w:line="240" w:beforeAutospacing="0" w:afterAutospacing="0"/>
        <w:pStyle w:val="P0"/>
        <w:rPr>
          <w:rFonts w:ascii="Times New Roman" w:hAnsi="Times New Roman"/>
          <w:sz w:val="24"/>
        </w:rPr>
      </w:pPr>
      <w:r>
        <w:rPr>
          <w:rFonts w:ascii="Times New Roman" w:hAnsi="Times New Roman"/>
          <w:b w:val="1"/>
          <w:sz w:val="24"/>
        </w:rPr>
        <w:t xml:space="preserve">Javno nadmetanje putem usmene javne dražbe</w:t>
      </w:r>
      <w:r>
        <w:rPr>
          <w:rFonts w:ascii="Times New Roman" w:hAnsi="Times New Roman"/>
          <w:sz w:val="24"/>
        </w:rPr>
        <w:t xml:space="preserve"> održat će se u Dubrovačko-neretvanskoj županiji, Upravnom odjelu za opću upravu i imovinsko-pravne poslove, na adresi  Dubrovnik,  Vukovarska 16, III kat, </w:t>
      </w:r>
      <w:r>
        <w:rPr>
          <w:rFonts w:ascii="Times New Roman" w:hAnsi="Times New Roman"/>
          <w:b w:val="1"/>
          <w:sz w:val="24"/>
        </w:rPr>
        <w:t xml:space="preserve">dana 18. rujna 2026. u 10:00 sati.</w:t>
      </w:r>
    </w:p>
    <w:p>
      <w:pPr>
        <w:spacing w:lineRule="auto" w:line="240" w:beforeAutospacing="0" w:afterAutospacing="0"/>
        <w:pStyle w:val="P0"/>
        <w:rPr>
          <w:rFonts w:ascii="Times New Roman" w:hAnsi="Times New Roman"/>
          <w:sz w:val="24"/>
        </w:rPr>
      </w:pPr>
      <w:r>
        <w:rPr>
          <w:rFonts w:ascii="Times New Roman" w:hAnsi="Times New Roman"/>
          <w:sz w:val="24"/>
        </w:rPr>
        <w:t xml:space="preserve">Kontakt informacije: utorkom i četvrtkom od 9:00  do 12:00 sati, na broj telefona 020/ 351- 125. </w:t>
      </w:r>
    </w:p>
    <w:p>
      <w:pPr>
        <w:spacing w:lineRule="auto" w:line="240" w:beforeAutospacing="0" w:afterAutospacing="0"/>
        <w:pStyle w:val="P0"/>
        <w:rPr>
          <w:rFonts w:ascii="Times New Roman" w:hAnsi="Times New Roman"/>
          <w:sz w:val="24"/>
        </w:rPr>
      </w:pPr>
      <w:r>
        <w:rPr>
          <w:rFonts w:ascii="Times New Roman" w:hAnsi="Times New Roman"/>
          <w:sz w:val="24"/>
        </w:rPr>
        <w:t xml:space="preserve">Cjelovit tekst oglasa sa svim detaljima i uvjetima javnog poziva nalazi se na: </w:t>
      </w:r>
      <w:r>
        <w:rPr>
          <w:rFonts w:ascii="Times New Roman" w:hAnsi="Times New Roman"/>
          <w:sz w:val="24"/>
        </w:rPr>
        <w:fldChar w:fldCharType="begin"/>
      </w:r>
      <w:r>
        <w:rPr>
          <w:rFonts w:ascii="Times New Roman" w:hAnsi="Times New Roman"/>
          <w:sz w:val="24"/>
          <w:u w:val="single"/>
        </w:rPr>
        <w:instrText xml:space="preserve"> HYPERLINK "http://www.dnz.hr/" </w:instrText>
      </w:r>
      <w:r>
        <w:rPr>
          <w:rFonts w:ascii="Times New Roman" w:hAnsi="Times New Roman"/>
          <w:sz w:val="24"/>
        </w:rPr>
        <w:fldChar w:fldCharType="separate"/>
      </w:r>
      <w:r>
        <w:rPr>
          <w:rStyle w:val="C1"/>
          <w:rFonts w:ascii="Times New Roman" w:hAnsi="Times New Roman"/>
          <w:sz w:val="24"/>
          <w:u w:val="single"/>
        </w:rPr>
        <w:t>www.dnz.hr</w:t>
      </w:r>
      <w:r>
        <w:rPr>
          <w:rFonts w:ascii="Times New Roman" w:hAnsi="Times New Roman"/>
          <w:sz w:val="24"/>
        </w:rPr>
        <w:fldChar w:fldCharType="end"/>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Jamčevina iznosi 10% utvrđene početne cijene mineralne sirovine te se uplaćuje na račun Dubrovačko-neretvanske županije IBAN: HR 56 2340009 1800019006, model HR68,  poziv na broj 9302-OIB UPLATITELJA, a u opisu plaćanja treba navesti oznaku MINERALNA SIROVINA - 1/26 za koju se uplaćuje jamčevina.</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Valjanom uplatom jamčevine smatra se uplata čija je transakcija vidljiva na računu Dubrovačko-neretvanske županije najkasnije na dan isteka roka za podnošenje prijava odnosno najkasnije na dan 11. rujna 2026. godine do 12:00 sati.</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Visina dražbenog koraka određena je u iznosu od 2 % od utvrđene početne cijene mineralne sirovine sukladno Odluci o načinu i postupku provedbe javnog nadmetanja za prodaju mineralne sirovine iz viška iskopa („Službeni glasnik Dubrovačko-neretvanske županije“, broj 2/25).</w:t>
      </w:r>
    </w:p>
    <w:p>
      <w:pPr>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PODNOŠENJE PRIJAVA</w:t>
      </w:r>
      <w:r>
        <w:rPr>
          <w:rFonts w:ascii="Times New Roman" w:hAnsi="Times New Roman"/>
          <w:sz w:val="24"/>
        </w:rPr>
        <w:t xml:space="preserve"> </w:t>
      </w:r>
      <w:r>
        <w:rPr>
          <w:rFonts w:ascii="Times New Roman" w:hAnsi="Times New Roman"/>
          <w:b w:val="1"/>
          <w:sz w:val="24"/>
        </w:rPr>
        <w:t xml:space="preserve">NA JAVNO NADMETANJE PUTEM USMENE JAVNE DRAŽBE</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Podnošenjem prijave na javno nadmetanje putem usmene javne dražbe prijavitelj je izričito suglasan da Dubrovačko-neretvanska županija, kao nadležno tijelo može prikupljati, koristiti i dalje obrađivati podatke u svrhu provedbe javnog poziva za provedbu javnog natječaja sukladno Zakonu o provedbi Opće uredbe o zaštiti podataka („Narodne Novine“ broj: 42/18) te iste javno objaviti sukladno Zakonu o pravu na pristup informacijama („Narodne Novine“ broj: 25/13, 85/15 i 69/22).</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Cjeloviti tekst Javnog poziv na javno nadmetanje putem usmene javne dražbe objavljen je na mrežnim stranicama Dubrovačko-neretvanske županije </w:t>
      </w:r>
      <w:r>
        <w:rPr>
          <w:rFonts w:ascii="Times New Roman" w:hAnsi="Times New Roman"/>
          <w:sz w:val="24"/>
        </w:rPr>
        <w:fldChar w:fldCharType="begin"/>
      </w:r>
      <w:r>
        <w:rPr>
          <w:rFonts w:ascii="Times New Roman" w:hAnsi="Times New Roman"/>
          <w:sz w:val="24"/>
          <w:u w:val="single"/>
        </w:rPr>
        <w:instrText xml:space="preserve"> HYPERLINK "http://www.dnz.hr/" </w:instrText>
      </w:r>
      <w:r>
        <w:rPr>
          <w:rFonts w:ascii="Times New Roman" w:hAnsi="Times New Roman"/>
          <w:sz w:val="24"/>
        </w:rPr>
        <w:fldChar w:fldCharType="separate"/>
      </w:r>
      <w:r>
        <w:rPr>
          <w:rStyle w:val="C1"/>
          <w:rFonts w:ascii="Times New Roman" w:hAnsi="Times New Roman"/>
          <w:sz w:val="24"/>
          <w:u w:val="single"/>
        </w:rPr>
        <w:t>www.dnz.hr</w:t>
      </w:r>
      <w:r>
        <w:rPr>
          <w:rFonts w:ascii="Times New Roman" w:hAnsi="Times New Roman"/>
          <w:sz w:val="24"/>
        </w:rPr>
        <w:fldChar w:fldCharType="end"/>
      </w:r>
      <w:r>
        <w:rPr>
          <w:rFonts w:ascii="Times New Roman" w:hAnsi="Times New Roman"/>
          <w:sz w:val="24"/>
        </w:rPr>
        <w:t xml:space="preserve">, kao i Ministarstva prostornog uređenja, graditeljstva i državne imovine </w:t>
      </w:r>
      <w:r>
        <w:rPr>
          <w:rFonts w:ascii="Times New Roman" w:hAnsi="Times New Roman"/>
          <w:sz w:val="24"/>
        </w:rPr>
        <w:fldChar w:fldCharType="begin"/>
      </w:r>
      <w:r>
        <w:rPr>
          <w:rFonts w:ascii="Times New Roman" w:hAnsi="Times New Roman"/>
          <w:sz w:val="24"/>
          <w:u w:val="single"/>
        </w:rPr>
        <w:instrText xml:space="preserve"> HYPERLINK "https://mpgi.gov.hr/" </w:instrText>
      </w:r>
      <w:r>
        <w:rPr>
          <w:rFonts w:ascii="Times New Roman" w:hAnsi="Times New Roman"/>
          <w:sz w:val="24"/>
        </w:rPr>
        <w:fldChar w:fldCharType="separate"/>
      </w:r>
      <w:r>
        <w:rPr>
          <w:rStyle w:val="C1"/>
          <w:rFonts w:ascii="Times New Roman" w:hAnsi="Times New Roman"/>
          <w:sz w:val="24"/>
          <w:u w:val="single"/>
        </w:rPr>
        <w:t>https://mpgi.gov.hr/</w:t>
      </w:r>
      <w:r>
        <w:rPr>
          <w:rFonts w:ascii="Times New Roman" w:hAnsi="Times New Roman"/>
          <w:sz w:val="24"/>
        </w:rPr>
        <w:fldChar w:fldCharType="end"/>
      </w:r>
      <w:r>
        <w:rPr>
          <w:rFonts w:ascii="Times New Roman" w:hAnsi="Times New Roman"/>
          <w:sz w:val="24"/>
        </w:rPr>
        <w:t xml:space="preserve">, dok je skraćeni oblik objave u  </w:t>
      </w:r>
      <w:r>
        <w:rPr>
          <w:rFonts w:ascii="Times New Roman" w:hAnsi="Times New Roman"/>
          <w:sz w:val="24"/>
        </w:rPr>
        <w:t xml:space="preserve">„Narodnim novinama“, službenom listu Republike Hrvatske.</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b w:val="1"/>
          <w:sz w:val="24"/>
        </w:rPr>
      </w:pPr>
    </w:p>
    <w:p>
      <w:pPr>
        <w:jc w:val="both"/>
        <w:spacing w:lineRule="auto" w:line="240" w:after="0" w:beforeAutospacing="0" w:afterAutospacing="0"/>
        <w:pStyle w:val="P0"/>
        <w:rPr>
          <w:rFonts w:ascii="Times New Roman" w:hAnsi="Times New Roman"/>
          <w:b w:val="1"/>
          <w:sz w:val="24"/>
        </w:rPr>
      </w:pPr>
    </w:p>
    <w:p>
      <w:pPr>
        <w:jc w:val="both"/>
        <w:spacing w:lineRule="auto" w:line="240" w:after="0" w:beforeAutospacing="0" w:afterAutospacing="0"/>
        <w:pStyle w:val="P0"/>
        <w:rPr>
          <w:rFonts w:ascii="Times New Roman" w:hAnsi="Times New Roman"/>
          <w:b w:val="1"/>
          <w:sz w:val="24"/>
        </w:rPr>
      </w:pPr>
    </w:p>
    <w:p>
      <w:pPr>
        <w:jc w:val="both"/>
        <w:spacing w:lineRule="auto" w:line="240" w:after="0" w:beforeAutospacing="0" w:afterAutospacing="0"/>
        <w:pStyle w:val="P0"/>
        <w:rPr>
          <w:rFonts w:ascii="Times New Roman" w:hAnsi="Times New Roman"/>
          <w:b w:val="1"/>
          <w:sz w:val="24"/>
        </w:rPr>
      </w:pP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NAČIN PODNOŠENJA PRIJAVA NA JAVNO NADMETANJE PUTEM USMENE JAVNE DRAŽBE</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Prijave za sudjelovanje u javnom nadmetanju podnose se pisanim putem u zatvorenoj omotnici na adresu Dubrovačko-neretvanske županije, Upravni odjel za opću upravu i imovinsko - pravne poslove, Vukovarska 16, 20 000 Dubrovnik, neposredno u pisarnicu ili putem pošte slanjem preporučene pošiljke, na način da prijava bude predana, odnosno preporučena pošiljka bude</w:t>
      </w:r>
      <w:r>
        <w:rPr>
          <w:rFonts w:ascii="Times New Roman" w:hAnsi="Times New Roman"/>
          <w:b w:val="1"/>
          <w:sz w:val="24"/>
        </w:rPr>
        <w:t xml:space="preserve"> zaprimljena u pisarnici Dubrovačko-neretvanske županije do 11. rujna 2026. do 12:00 sati </w:t>
      </w:r>
      <w:r>
        <w:rPr>
          <w:rFonts w:ascii="Times New Roman" w:hAnsi="Times New Roman"/>
          <w:sz w:val="24"/>
        </w:rPr>
        <w:t>.</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Prijavitelji su dužni na prednjoj strani i poleđini omotnice napisati upozorenje „NE OTVARATI -  ZA JAVNI NATJEČAJ ZA JAVNO NADMETANJE PUTEM USMENE JAVNE DRAŽBE ZA KUPNJU MINERALNE SIROVINE.</w:t>
      </w:r>
    </w:p>
    <w:p>
      <w:pPr>
        <w:jc w:val="both"/>
        <w:spacing w:lineRule="auto" w:line="240" w:after="0" w:beforeAutospacing="0" w:afterAutospacing="0"/>
        <w:pStyle w:val="P0"/>
        <w:rPr>
          <w:rFonts w:ascii="Times New Roman" w:hAnsi="Times New Roman"/>
          <w:sz w:val="24"/>
        </w:rPr>
      </w:pP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Dan predaje prijave smatra se dan predaje pisane prijave neposredno u pisarnicu Dubrovačko-neretvanske županije ili preporučenom poštom, na način da prijava bude predana, odnosno preporučena pošiljka bude zaprimljena u pisarnici Dubrovačko-neretvanske županije do 11. rujna 2026. do 12:00 sati.</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Nepotpune prijave i prijave zaprimljene u pisarnici Dubrovačko-neretrvanske županije izvan utvrđenog roka, odnosno 11. rujna 2026. godine iza 12:00 sati, neće se razmatrati, odnosno ponuditelji prijava podnesenih izvan utvrđenog roka nemaju pravo sudjelovati u postupku javnog nadmetanja.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MJESTO I VRIJEME ODRŽAVANJA JAVNOG NADMETANJA</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Javno nadmetanje putem usmene javne dražbe za kupnju mineralne sirovine održat će se dana 18. rujna 2026. godine u prostorijama Dubrovačko-neretvanske županije, na adresi Dubrovnik, Vukovarska 16, III kat, /sala za rasprave/ s početkom u 10:00 sati.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OPĆI UVJETI POSTUPKA JAVNOG NADMETANJA</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before="0" w:after="0" w:beforeAutospacing="0" w:afterAutospacing="0"/>
        <w:numPr>
          <w:numId w:val="7"/>
        </w:numPr>
        <w:pStyle w:val="P0"/>
        <w:rPr>
          <w:rFonts w:ascii="Times New Roman" w:hAnsi="Times New Roman"/>
          <w:sz w:val="24"/>
        </w:rPr>
      </w:pPr>
      <w:r>
        <w:rPr>
          <w:rFonts w:ascii="Times New Roman" w:hAnsi="Times New Roman"/>
          <w:sz w:val="24"/>
        </w:rPr>
        <w:t xml:space="preserve">Pravo sudjelovanja u postupku javnog nadmetanja putem usmene javne dražbe</w:t>
      </w:r>
      <w:r>
        <w:rPr>
          <w:rFonts w:ascii="Times New Roman" w:hAnsi="Times New Roman"/>
          <w:b w:val="1"/>
          <w:sz w:val="24"/>
        </w:rPr>
        <w:t xml:space="preserve"> </w:t>
      </w:r>
      <w:r>
        <w:rPr>
          <w:rFonts w:ascii="Times New Roman" w:hAnsi="Times New Roman"/>
          <w:sz w:val="24"/>
        </w:rPr>
        <w:t xml:space="preserve">imaju sve  fizičke osobe koje imaju državljanstvo Republike Hrvatske, državljanstvo država koje čine Europski gospodarski prostor, te pravne osobe koje imaju sjedište u Republici Hrvatskoj, ili državi koja čini Europski gospodarski prostor.</w:t>
      </w:r>
    </w:p>
    <w:p>
      <w:pPr>
        <w:jc w:val="both"/>
        <w:spacing w:lineRule="auto" w:line="240" w:before="0" w:after="0" w:beforeAutospacing="0" w:afterAutospacing="0"/>
        <w:ind w:left="720"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right="0"/>
        <w:numPr>
          <w:numId w:val="7"/>
        </w:numPr>
        <w:pStyle w:val="P0"/>
        <w:rPr>
          <w:rFonts w:ascii="Times New Roman" w:hAnsi="Times New Roman"/>
          <w:sz w:val="24"/>
        </w:rPr>
      </w:pPr>
      <w:r>
        <w:rPr>
          <w:rFonts w:ascii="Times New Roman" w:hAnsi="Times New Roman"/>
          <w:sz w:val="24"/>
        </w:rPr>
        <w:t xml:space="preserve">Osoba koje namjerava sudjelovati u postupku javnog nadmetanja putem usmene javne       dražbe</w:t>
      </w:r>
      <w:r>
        <w:rPr>
          <w:rFonts w:ascii="Times New Roman" w:hAnsi="Times New Roman"/>
          <w:b w:val="1"/>
          <w:sz w:val="24"/>
        </w:rPr>
        <w:t xml:space="preserve"> </w:t>
      </w:r>
      <w:r>
        <w:rPr>
          <w:rFonts w:ascii="Times New Roman" w:hAnsi="Times New Roman"/>
          <w:sz w:val="24"/>
        </w:rPr>
        <w:t xml:space="preserve">mora biti uplatitelj jamčevine.</w:t>
      </w:r>
    </w:p>
    <w:p>
      <w:pPr>
        <w:jc w:val="both"/>
        <w:spacing w:lineRule="auto" w:line="240" w:before="0" w:after="0" w:beforeAutospacing="0" w:afterAutospacing="0"/>
        <w:ind w:left="720"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numPr>
          <w:numId w:val="7"/>
        </w:numPr>
        <w:pStyle w:val="P0"/>
        <w:rPr>
          <w:rFonts w:ascii="Times New Roman" w:hAnsi="Times New Roman"/>
          <w:sz w:val="24"/>
        </w:rPr>
      </w:pPr>
      <w:r>
        <w:rPr>
          <w:rFonts w:ascii="Times New Roman" w:hAnsi="Times New Roman"/>
          <w:sz w:val="24"/>
        </w:rPr>
        <w:t xml:space="preserve">Na usmenoj javnoj dražbi kao ponuditelji uz dokaz identiteta, putem valjanog identifikacijskog dokumenta, mogu sudjelovati samo osobe koje su prethodno ispunile sve uvjete određene Javnim pozivom. N</w:t>
      </w:r>
      <w:r>
        <w:rPr>
          <w:rFonts w:ascii="Times New Roman" w:hAnsi="Times New Roman"/>
          <w:sz w:val="24"/>
        </w:rPr>
        <w:t xml:space="preserve">a usmenoj javnoj dražbi ponuditelje mogu zastupati zuastupnici, na koje se na odgovarajući način primjenjuju odredbe Zakona o parničnom postupku („Narodne novine“, broj: 148/11, 25/13, 89/14, 70/19, 80/22) kojima su uređeni instituti zakonskih zastupnika i punomoćnika. </w:t>
      </w:r>
    </w:p>
    <w:p>
      <w:pPr>
        <w:jc w:val="both"/>
        <w:spacing w:lineRule="auto" w:line="240" w:before="0" w:after="0" w:beforeAutospacing="0" w:afterAutospacing="0"/>
        <w:ind w:left="708" w:right="0"/>
        <w:pStyle w:val="P0"/>
        <w:rPr>
          <w:rFonts w:ascii="Times New Roman" w:hAnsi="Times New Roman"/>
          <w:sz w:val="24"/>
        </w:rPr>
      </w:pPr>
      <w:r>
        <w:rPr>
          <w:rFonts w:ascii="Times New Roman" w:hAnsi="Times New Roman"/>
          <w:sz w:val="24"/>
        </w:rPr>
        <w:t xml:space="preserve">Punomoći kojima fizičke osobe ovlašćuju zastupnike da ih zastupaju na usmenoj javnoj dražbi moraju biti javnobilježnički ovjerene. Navedeno se ne odnosi na punomoći dane odvjetnicima.</w:t>
      </w:r>
    </w:p>
    <w:p>
      <w:pPr>
        <w:jc w:val="both"/>
        <w:spacing w:lineRule="auto" w:line="240" w:before="0" w:after="0" w:beforeAutospacing="0" w:afterAutospacing="0"/>
        <w:ind w:left="708"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hanging="348" w:left="708" w:right="0"/>
        <w:pStyle w:val="P0"/>
        <w:rPr>
          <w:rFonts w:ascii="Times New Roman" w:hAnsi="Times New Roman"/>
          <w:sz w:val="24"/>
        </w:rPr>
      </w:pPr>
      <w:r>
        <w:rPr>
          <w:rFonts w:ascii="Times New Roman" w:hAnsi="Times New Roman"/>
          <w:sz w:val="24"/>
        </w:rPr>
        <w:t>4.</w:t>
      </w:r>
      <w:r>
        <w:rPr>
          <w:rFonts w:ascii="Times New Roman" w:hAnsi="Times New Roman"/>
          <w:sz w:val="24"/>
        </w:rPr>
        <w:tab/>
      </w:r>
      <w:r>
        <w:rPr>
          <w:rFonts w:ascii="Times New Roman" w:hAnsi="Times New Roman"/>
          <w:sz w:val="24"/>
        </w:rPr>
        <w:t xml:space="preserve">Redoslijed ponuditelja se  utvrđuje prema vremenu zaprimanja ponude u nadležnom tijelu, na način da je prvi ponuditelj u redoslijedu onaj čija je prijava prva zaprimljena u pisarnici nadležnog tijela, drugi je onaj čija je prijava druga po redu zaprimljena i tako redom sve do posljednjeg prijavitelja, a ukoliko su dvije ili više ponuda pristigle u isto vrijeme ili se iz vremena primitka ne može utvrditi redoslijed, redoslijed se utvrđuje prema urudžbenom broju ponude.</w:t>
      </w:r>
    </w:p>
    <w:p>
      <w:pPr>
        <w:jc w:val="center"/>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before="0" w:after="0" w:beforeAutospacing="0" w:afterAutospacing="0"/>
        <w:ind w:hanging="345" w:left="705" w:right="0"/>
        <w:pStyle w:val="P0"/>
        <w:rPr>
          <w:rFonts w:ascii="Times New Roman" w:hAnsi="Times New Roman"/>
          <w:sz w:val="24"/>
        </w:rPr>
      </w:pPr>
      <w:r>
        <w:rPr>
          <w:rFonts w:ascii="Times New Roman" w:hAnsi="Times New Roman"/>
          <w:sz w:val="24"/>
        </w:rPr>
        <w:t>5.</w:t>
      </w:r>
      <w:r>
        <w:rPr>
          <w:rFonts w:ascii="Times New Roman" w:hAnsi="Times New Roman"/>
          <w:sz w:val="24"/>
        </w:rPr>
        <w:tab/>
      </w:r>
      <w:r>
        <w:rPr>
          <w:rFonts w:ascii="Times New Roman" w:hAnsi="Times New Roman"/>
          <w:sz w:val="24"/>
        </w:rPr>
        <w:t xml:space="preserve">U slučaju da prvi od ponuditelja prema utvrđenom redoslijedu ponuditelja ne prihvati početni iznos prodajne cijene i ne povisi ponudu, pitanje o prihvatu i povišenju ponude ponavlja se sljedećim ponuditeljima prema utvrđenom redoslijedu ponuditelja.</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Nakon što početni iznos prvi puta bude prihvaćen ili nakon što prvi puta bude povišena ponuda, svaki sljedeći ponuditelj prema utvrđenom redoslijedu ponuditelja se pita povisuje li ponudu u odnosu na zadnje dane i za koliko dražbenih koraka.</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Smatra se da su od daljnjeg sudjelovanja u javnoj dražbi odustali ponuditelji koji se ne izjasne na način da prihvaćaju početni iznos cijene ili ne povise ponudu kada po utvrđenom redoslijedu ponuditelja bude njihov red da se izjasne.</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Postupak se ponavlja sve dok u sudjelovanju u javnoj dražbi ne ostane samo jedan ponuditelj, koji će tri puta biti pozvan da se izjasni ostaje li kod svoje konačne ponude.</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Usmena dražba se zaključuje ako se posljednji ponuditelj koji sudjeluje u nadmetanju tri  puta izjasni potvrdno.</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Najpovoljnijim ponuditeljem smatra se ponuditelj koji je posljednji povisio ponudu, odnosno koji je ponudio najviši iznos te koji je tri puta na poziv predsjednika Povjerenstva potvrdio da ostaje kod svoje konačne odluke, uz uvjet da ispunjava i sve druge uvjete javnog nadmetanja putem usmene javne dražbe.</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hanging="285" w:left="705" w:right="0"/>
        <w:pStyle w:val="P0"/>
        <w:rPr>
          <w:rFonts w:ascii="Times New Roman" w:hAnsi="Times New Roman"/>
          <w:sz w:val="24"/>
        </w:rPr>
      </w:pPr>
      <w:r>
        <w:rPr>
          <w:rFonts w:ascii="Times New Roman" w:hAnsi="Times New Roman"/>
          <w:sz w:val="24"/>
        </w:rPr>
        <w:t>6.</w:t>
      </w:r>
      <w:r>
        <w:rPr>
          <w:rFonts w:ascii="Times New Roman" w:hAnsi="Times New Roman"/>
          <w:sz w:val="24"/>
        </w:rPr>
        <w:tab/>
      </w:r>
      <w:r>
        <w:rPr>
          <w:rFonts w:ascii="Times New Roman" w:hAnsi="Times New Roman"/>
          <w:sz w:val="24"/>
        </w:rPr>
        <w:t xml:space="preserve">Ako ponuditelj koji je ponudio najviši iznos odustane od ponude prije zaključenja dražbe, predsjednik Povjerenstva će sve prisutne ponuditelje pitati želi li netko ponuditi iznos jednak  ili viši od iznosa koji je bio zadnji ponuđen. Ako se itko od ponuditelja ne izjasni da želi ponuditi iznos jednak ili viši od iznosa koji je bio zadnji ponuđen, predsjednik Povjerenstva će tri puta upitati ponuditelja koji je dao drugu najvišu ponudu ostaje li kod svoje ponude te će zaključiti dražbu ako se taj ponuditelj tri puta izjasni da ostaje kod svoje ponude.</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Dražba će se zaključiti i ako ponuditelj koji je dao drugu najvišu ponudu ne izjasni da ostaje kod svoje ponude te će u tom slučaju predsjednik Povjerenstva konstatirati da dražba nije uspjela.</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hanging="405" w:left="705" w:right="0"/>
        <w:pStyle w:val="P0"/>
        <w:rPr>
          <w:rFonts w:ascii="Times New Roman" w:hAnsi="Times New Roman"/>
          <w:sz w:val="24"/>
        </w:rPr>
      </w:pPr>
      <w:r>
        <w:rPr>
          <w:rFonts w:ascii="Times New Roman" w:hAnsi="Times New Roman"/>
          <w:sz w:val="24"/>
        </w:rPr>
        <w:t>7.</w:t>
      </w:r>
      <w:r>
        <w:rPr>
          <w:rFonts w:ascii="Times New Roman" w:hAnsi="Times New Roman"/>
          <w:sz w:val="24"/>
        </w:rPr>
        <w:tab/>
      </w:r>
      <w:r>
        <w:rPr>
          <w:rFonts w:ascii="Times New Roman" w:hAnsi="Times New Roman"/>
          <w:sz w:val="24"/>
        </w:rPr>
        <w:t xml:space="preserve">Prigovore na zaključenu javnu dražbu ukoliko ih imaju mogu izjaviti samo osobe prisutne na javnog dražbi u svojstvu ponuditelja ili njihovi zastupnici ako su prisutni na javnoj dražbi.  O izjavljenim prigovorima Povjerenstvo odlučuje naknadno, u roku osam dana od dana zaključenja javne dražbe, te je odluka o istom sastavni dio zapisnika o provedenom postupku javnog nadmetanja.</w:t>
      </w:r>
    </w:p>
    <w:p>
      <w:pPr>
        <w:jc w:val="both"/>
        <w:spacing w:lineRule="auto" w:line="240" w:before="0" w:after="0" w:beforeAutospacing="0" w:afterAutospacing="0"/>
        <w:ind w:hanging="405" w:left="705"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hanging="405" w:left="705" w:right="0"/>
        <w:pStyle w:val="P0"/>
        <w:rPr>
          <w:rFonts w:ascii="Times New Roman" w:hAnsi="Times New Roman"/>
          <w:sz w:val="24"/>
        </w:rPr>
      </w:pPr>
      <w:r>
        <w:rPr>
          <w:rFonts w:ascii="Times New Roman" w:hAnsi="Times New Roman"/>
          <w:sz w:val="24"/>
        </w:rPr>
        <w:t>8.</w:t>
      </w:r>
      <w:r>
        <w:rPr>
          <w:rFonts w:ascii="Times New Roman" w:hAnsi="Times New Roman"/>
          <w:sz w:val="24"/>
        </w:rPr>
        <w:tab/>
      </w:r>
      <w:r>
        <w:rPr>
          <w:rFonts w:ascii="Times New Roman" w:hAnsi="Times New Roman"/>
          <w:sz w:val="24"/>
        </w:rPr>
        <w:t xml:space="preserve">U slučaju odustanka najpovoljnijeg ponuditelja nakon zaključenja dražbe isti ponuditelj gubi iznos uplaćene jamčevine, te će nadležno tijelo putem elektroničke pošte pozvati slijedećeg najpovoljnijeg ponuditelja da se u roku od 8 dana očituje da li prihvaća ponudu najpovoljnijeg ponuditelja koji je odustao od ponude te će se, u slučaju prihvata ponude, isti ponuditelj smatrati najpovoljnijim ponuditeljem. </w:t>
      </w:r>
    </w:p>
    <w:p>
      <w:pPr>
        <w:jc w:val="both"/>
        <w:spacing w:lineRule="auto" w:line="240" w:before="0" w:after="0" w:beforeAutospacing="0" w:afterAutospacing="0"/>
        <w:ind w:hanging="405" w:left="705"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hanging="405" w:left="705" w:right="0"/>
        <w:pStyle w:val="P0"/>
        <w:rPr>
          <w:rFonts w:ascii="Times New Roman" w:hAnsi="Times New Roman"/>
          <w:sz w:val="24"/>
        </w:rPr>
      </w:pPr>
      <w:r>
        <w:rPr>
          <w:rFonts w:ascii="Times New Roman" w:hAnsi="Times New Roman"/>
          <w:sz w:val="24"/>
        </w:rPr>
        <w:t>9.</w:t>
      </w:r>
      <w:r>
        <w:rPr>
          <w:rFonts w:ascii="Times New Roman" w:hAnsi="Times New Roman"/>
          <w:sz w:val="24"/>
        </w:rPr>
        <w:tab/>
      </w:r>
      <w:r>
        <w:rPr>
          <w:rFonts w:ascii="Times New Roman" w:hAnsi="Times New Roman"/>
          <w:sz w:val="24"/>
        </w:rPr>
        <w:t xml:space="preserve">Nakon donošenja Odluke o izboru najpovoljnijeg ponuditelja i prodaji mineralne sirovine iz viška iskopa, nadležno tijelo će ostalim ponuditeljima vratiti uplaćene jamčevine, u roku od 15 dana od dana donošenja Odluke bez prava na zakonsku zateznu kamatu za razdoblje od njezine uplate pa do isplate.</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Ako najpovoljniji ponuditelj odustane od ponude ili se u ostavljenom roku od 15 dana ne odazove pozivu za sklapanje ugovora o kupoprodaji gubi pravo na povrat uplaćene jamčevine.</w:t>
      </w:r>
    </w:p>
    <w:p>
      <w:pPr>
        <w:jc w:val="both"/>
        <w:spacing w:lineRule="auto" w:line="240" w:before="0" w:after="0" w:beforeAutospacing="0" w:afterAutospacing="0"/>
        <w:ind w:left="705" w:right="0"/>
        <w:pStyle w:val="P0"/>
        <w:rPr>
          <w:rFonts w:ascii="Times New Roman" w:hAnsi="Times New Roman"/>
          <w:sz w:val="24"/>
        </w:rPr>
      </w:pPr>
      <w:r>
        <w:rPr>
          <w:rFonts w:ascii="Times New Roman" w:hAnsi="Times New Roman"/>
          <w:sz w:val="24"/>
        </w:rPr>
        <w:t xml:space="preserve"> </w:t>
      </w:r>
    </w:p>
    <w:p>
      <w:pPr>
        <w:jc w:val="both"/>
        <w:spacing w:lineRule="auto" w:line="240" w:before="0" w:after="0" w:beforeAutospacing="0" w:afterAutospacing="0"/>
        <w:ind w:hanging="585" w:left="705" w:right="0"/>
        <w:pStyle w:val="P0"/>
        <w:rPr>
          <w:rFonts w:ascii="Times New Roman" w:hAnsi="Times New Roman"/>
          <w:sz w:val="24"/>
        </w:rPr>
      </w:pPr>
      <w:r>
        <w:rPr>
          <w:rFonts w:ascii="Times New Roman" w:hAnsi="Times New Roman"/>
          <w:sz w:val="24"/>
        </w:rPr>
        <w:t>10.</w:t>
      </w:r>
      <w:r>
        <w:rPr>
          <w:rFonts w:ascii="Times New Roman" w:hAnsi="Times New Roman"/>
          <w:sz w:val="24"/>
        </w:rPr>
        <w:tab/>
      </w:r>
      <w:r>
        <w:rPr>
          <w:rFonts w:ascii="Times New Roman" w:hAnsi="Times New Roman"/>
          <w:sz w:val="24"/>
        </w:rPr>
        <w:t xml:space="preserve">Dubrovačko-neretvanska županija zadržava pravo da odustane od prodaje mineralne sirovine iz viška iskopa u svako doba prije potpisivanja ugovora o kupoprodaji. U slučaju odustanka od prodaje ponuditelju će se vratiti iznos uplaćene jamčevine i pri tome nadležno tijelo ne snosi materijalnu ili neku drugu odgovornost prema ponuditelju, niti ima obvezu obavijestiti ga o razlozima za takav postupak. Ponuditelj u tom slučaju nema pravo na naknadu bilo kakvih troškova u postupku podnošenja prijave, niti pravo na kamatu za uplaćenu jamčevinu za razdoblje od njezine uplate dio isplate.</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SADRŽAJ PRIJAVE NA JAVNO NADMETANJE PUTEM USMENE JAVNE DRAŽBE</w:t>
      </w:r>
    </w:p>
    <w:p>
      <w:pPr>
        <w:jc w:val="both"/>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Prijava na javno nadmetanje putem usmene javne dražbe za kupnju mineralne sirovine mora sadržavati:</w:t>
      </w:r>
    </w:p>
    <w:p>
      <w:pPr>
        <w:jc w:val="both"/>
        <w:spacing w:lineRule="auto" w:line="240" w:after="0" w:beforeAutospacing="0" w:afterAutospacing="0"/>
        <w:ind w:firstLine="708"/>
        <w:pStyle w:val="P0"/>
        <w:rPr>
          <w:rFonts w:ascii="Times New Roman" w:hAnsi="Times New Roman"/>
          <w:sz w:val="24"/>
        </w:rPr>
      </w:pPr>
      <w:r>
        <w:rPr>
          <w:rFonts w:ascii="Times New Roman" w:hAnsi="Times New Roman"/>
          <w:sz w:val="24"/>
        </w:rPr>
        <w:t xml:space="preserve">a) osnovne podatke i dokumentaciju koja sadrži osnovne podatke o prijavitelju: ime i prezime, prebivalište/boravište, osobni identifikacijski broj (OIB) – (za fizičke osobe i fizičke osobe koje imaju registrirani obrt ili obavljaju samostalnu profesionalnu djelatnost),  odnosno naziv trgovačkog društva, sjedište, osobni identifikacijski broj (OIB) – (za pravne osobe) te adresu elektroničke pošte i broj telefona radi kontakta</w:t>
      </w:r>
    </w:p>
    <w:p>
      <w:pPr>
        <w:jc w:val="both"/>
        <w:spacing w:lineRule="auto" w:line="240" w:after="0" w:beforeAutospacing="0" w:afterAutospacing="0"/>
        <w:ind w:firstLine="708"/>
        <w:pStyle w:val="P0"/>
        <w:rPr>
          <w:rFonts w:ascii="Times New Roman" w:hAnsi="Times New Roman"/>
          <w:sz w:val="24"/>
        </w:rPr>
      </w:pPr>
      <w:r>
        <w:rPr>
          <w:rFonts w:ascii="Times New Roman" w:hAnsi="Times New Roman"/>
          <w:sz w:val="24"/>
        </w:rPr>
        <w:t xml:space="preserve">b) dokaz o izvršnoj uplati jamčevine na račun nadležnog tijela</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ab/>
      </w:r>
      <w:r>
        <w:rPr>
          <w:rFonts w:ascii="Times New Roman" w:hAnsi="Times New Roman"/>
          <w:sz w:val="24"/>
        </w:rPr>
        <w:t xml:space="preserve">c) naziv  banke i broj računa prijavitelja za povrat jamčevine</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ab/>
      </w:r>
      <w:r>
        <w:rPr>
          <w:rFonts w:ascii="Times New Roman" w:hAnsi="Times New Roman"/>
          <w:sz w:val="24"/>
        </w:rPr>
        <w:t xml:space="preserve">d) domaće pravne i fizičke osobe dužne su priložiti izvornik ili ovjerenu presliku ili elektronički zapis potvrde nadležne Porezne uprave o podmirenju poreznog duga, koja ne smije biti starija od 30 dana od dana podnošenja prijave</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ab/>
      </w:r>
      <w:r>
        <w:rPr>
          <w:rFonts w:ascii="Times New Roman" w:hAnsi="Times New Roman"/>
          <w:sz w:val="24"/>
        </w:rPr>
        <w:t xml:space="preserve">e) domaće fizičke osobe dužne su priložiti presliku važeće osobne iskaznice, a strane fizičke osobe presliku putovnice</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ab/>
      </w:r>
      <w:r>
        <w:rPr>
          <w:rFonts w:ascii="Times New Roman" w:hAnsi="Times New Roman"/>
          <w:sz w:val="24"/>
        </w:rPr>
        <w:t xml:space="preserve">f) domaće pravne osobe moraju priložiti izvadak iz sudskog, obrtnog ili drugog registra, rješenje o upisu u odgovarajući upisnik samostalnih djelatnosti, a strane pravne osobe izvadak iz domicilnog registra s ovjerenim prijevodom sudskog tumača na hrvatski jezik</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ab/>
      </w:r>
      <w:r>
        <w:rPr>
          <w:rFonts w:ascii="Times New Roman" w:hAnsi="Times New Roman"/>
          <w:sz w:val="24"/>
        </w:rPr>
        <w:t xml:space="preserve">g) javnobilježničku ovjerenu izjavu prijavitelja kojom se obvezuje da će u slučaju ako njegova ponuda bude prihvaćena, snositi troškove sklapanja ugovora o kupoprodaji i trošak objave javnog poziva u službenom listu, da u cijelosti prihvaća uvjete javne dražbe, te da njegova ponuda ostaje na snazi 90 dana, računajući od dana zatvaranja javne dražbe</w:t>
      </w:r>
    </w:p>
    <w:p>
      <w:pPr>
        <w:jc w:val="both"/>
        <w:spacing w:lineRule="auto" w:line="240" w:after="0" w:beforeAutospacing="0" w:afterAutospacing="0"/>
        <w:pStyle w:val="P0"/>
        <w:rPr>
          <w:rFonts w:ascii="Times New Roman" w:hAnsi="Times New Roman"/>
          <w:sz w:val="24"/>
        </w:rPr>
      </w:pPr>
      <w:r>
        <w:rPr>
          <w:rFonts w:ascii="Times New Roman" w:hAnsi="Times New Roman"/>
          <w:sz w:val="24"/>
        </w:rPr>
        <w:t xml:space="preserve"> </w:t>
      </w:r>
    </w:p>
    <w:p>
      <w:pPr>
        <w:jc w:val="both"/>
        <w:spacing w:lineRule="auto" w:line="240" w:beforeAutospacing="0" w:afterAutospacing="0"/>
        <w:pStyle w:val="P0"/>
        <w:rPr>
          <w:rFonts w:ascii="Times New Roman" w:hAnsi="Times New Roman"/>
          <w:sz w:val="24"/>
        </w:rPr>
      </w:pPr>
      <w:r>
        <w:rPr>
          <w:rFonts w:ascii="Times New Roman" w:hAnsi="Times New Roman"/>
          <w:b w:val="1"/>
          <w:sz w:val="24"/>
        </w:rPr>
        <w:t xml:space="preserve">Prijava s cjelokupnom dokumentacijom za sudjelovanje u javnom nadmetanju mora biti numerirana na način da je označen svaki broj stranice ponude i dokumentacije (npr.: 1/3, 2/3, 3/3) te mora biti uvezana u cjelinu (npr. jamstvenikom ili vrpcom) na način da nije moguće naknadno vađenje ili umetanje listova ili dijelova ponude. Ponuda uvezana spiralnim uvezom neće se smatrati valjanom.</w:t>
      </w:r>
    </w:p>
    <w:p>
      <w:pPr>
        <w:jc w:val="both"/>
        <w:spacing w:lineRule="auto" w:line="240" w:beforeAutospacing="0" w:afterAutospacing="0"/>
        <w:pStyle w:val="P0"/>
        <w:rPr>
          <w:rFonts w:ascii="Times New Roman" w:hAnsi="Times New Roman"/>
          <w:sz w:val="24"/>
        </w:rPr>
      </w:pPr>
      <w:r>
        <w:rPr>
          <w:rFonts w:ascii="Times New Roman" w:hAnsi="Times New Roman"/>
          <w:b w:val="1"/>
          <w:sz w:val="24"/>
        </w:rPr>
        <w:t xml:space="preserve">Prijava koja ne sadrži sve navedeno (od a. do g.), te nije numerirana i uvezana na način kako je to prethodno predviđeno, smatrat će se nevaljanom.</w:t>
      </w:r>
    </w:p>
    <w:p>
      <w:pPr>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spacing w:lineRule="auto" w:line="240" w:after="0" w:beforeAutospacing="0" w:afterAutospacing="0"/>
        <w:pStyle w:val="P0"/>
        <w:rPr>
          <w:rFonts w:ascii="Times New Roman" w:hAnsi="Times New Roman"/>
          <w:sz w:val="24"/>
        </w:rPr>
      </w:pPr>
      <w:r>
        <w:rPr>
          <w:rFonts w:ascii="Times New Roman" w:hAnsi="Times New Roman"/>
          <w:b w:val="1"/>
          <w:sz w:val="24"/>
        </w:rPr>
        <w:t xml:space="preserve"> </w:t>
      </w:r>
    </w:p>
    <w:p>
      <w:pPr>
        <w:jc w:val="right"/>
        <w:spacing w:lineRule="auto" w:line="240" w:after="0" w:beforeAutospacing="0" w:afterAutospacing="0"/>
        <w:pStyle w:val="P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DUBROVAČKO-NERETVANSKA ŽUPANIJA</w:t>
      </w:r>
    </w:p>
    <w:p>
      <w:pPr>
        <w:spacing w:lineRule="auto" w:line="240" w:after="0" w:beforeAutospacing="0" w:afterAutospacing="0"/>
        <w:pStyle w:val="P0"/>
        <w:rPr>
          <w:rFonts w:ascii="Times New Roman" w:hAnsi="Times New Roman"/>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pPr>
        <w:spacing w:lineRule="auto" w:line="240" w:after="0" w:beforeAutospacing="0" w:afterAutospacing="0"/>
        <w:pStyle w:val="P0"/>
        <w:rPr>
          <w:rFonts w:ascii="Times New Roman" w:hAnsi="Times New Roman"/>
          <w:sz w:val="24"/>
        </w:rPr>
      </w:pPr>
    </w:p>
    <w:sectPr>
      <w:headerReference w:type="first" r:id="header1"/>
      <w:headerReference w:type="default" r:id="header2"/>
      <w:footerReference w:type="default" r:id="footer3"/>
      <w:type w:val="nextPage"/>
      <w:pgMar w:left="1440" w:right="1440" w:top="1440" w:bottom="1440" w:header="720" w:footer="720"/>
      <w:cols w:equalWidth="1" w:space="720"/>
      <w:titlePg w:val="1"/>
    </w:sectPr>
  </w:body>
</w:document>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g="http://schemas.microsoft.com/office/word/2010/wordprocessingGroup" xmlns:wpc="http://schemas.microsoft.com/office/word/2010/wordprocessingCanvas" xmlns:r="http://schemas.openxmlformats.org/officeDocument/2006/relationships" xmlns:a="http://schemas.openxmlformats.org/drawingml/2006/main" xmlns:pic="http://schemas.openxmlformats.org/drawingml/2006/picture" xmlns:wp="http://schemas.openxmlformats.org/drawingml/2006/wordprocessingDrawing" xmlns:wp14="http://schemas.microsoft.com/office/word/2010/wordprocessingDrawing" mc:Ignorable="wp14">
  <w:p>
    <w:pPr>
      <w:jc w:val="right"/>
      <w:pStyle w:val="P2"/>
    </w:pPr>
    <w:r>
      <w:fldChar w:fldCharType="begin"/>
    </w:r>
    <w:r>
      <w:instrText xml:space="preserve"> PAGE   \* MERGEFORMAT </w:instrText>
    </w:r>
    <w:r>
      <w:fldChar w:fldCharType="separate"/>
    </w:r>
    <w:r>
      <w:rPr>
        <w:noProof w:val="1"/>
      </w:rPr>
      <w:fldChar w:fldCharType="end"/>
    </w:r>
  </w:p>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g="http://schemas.microsoft.com/office/word/2010/wordprocessingGroup" xmlns:wpc="http://schemas.microsoft.com/office/word/2010/wordprocessingCanvas" xmlns:r="http://schemas.openxmlformats.org/officeDocument/2006/relationships" xmlns:a="http://schemas.openxmlformats.org/drawingml/2006/main" xmlns:pic="http://schemas.openxmlformats.org/drawingml/2006/picture" xmlns:wp="http://schemas.openxmlformats.org/drawingml/2006/wordprocessingDrawing" xmlns:wp14="http://schemas.microsoft.com/office/word/2010/wordprocessingDrawing" mc:Ignorable="wp14">
  <w:p>
    <w:pPr>
      <w:jc w:val="right"/>
      <w:pStyle w:val="P1"/>
    </w:pPr>
    <w:r>
      <w:drawing>
        <wp:inline>
          <wp:extent cx="685800" cy="685800"/>
          <wp:docPr id="3" name="Picture 2"/>
          <wp:cNvGraphicFramePr>
            <a:graphicFrameLocks noChangeAspect="1"/>
          </wp:cNvGraphicFramePr>
          <a:graphic>
            <a:graphicData uri="http://schemas.openxmlformats.org/drawingml/2006/picture">
              <pic:pic>
                <pic:nvPicPr>
                  <pic:cNvPr id="3" name="Picture 1"/>
                  <pic:cNvPicPr/>
                </pic:nvPicPr>
                <pic:blipFill>
                  <a:blip r:embed="Image3"/>
                  <a:stretch>
                    <a:fillRect/>
                  </a:stretch>
                </pic:blipFill>
                <pic:spPr>
                  <a:xfrm>
                    <a:off x="0" y="0"/>
                    <a:ext cx="685800" cy="685800"/>
                  </a:xfrm>
                  <a:prstGeom prst="rect"/>
                  <a:noFill/>
                </pic:spPr>
              </pic:pic>
            </a:graphicData>
          </a:graphic>
        </wp:inline>
      </w:drawing>
    </w: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g="http://schemas.microsoft.com/office/word/2010/wordprocessingGroup" xmlns:wpc="http://schemas.microsoft.com/office/word/2010/wordprocessingCanvas" xmlns:r="http://schemas.openxmlformats.org/officeDocument/2006/relationships" xmlns:a="http://schemas.openxmlformats.org/drawingml/2006/main" xmlns:pic="http://schemas.openxmlformats.org/drawingml/2006/picture" xmlns:wp="http://schemas.openxmlformats.org/drawingml/2006/wordprocessingDrawing" xmlns:wp14="http://schemas.microsoft.com/office/word/2010/wordprocessingDrawing" mc:Ignorable="wp14">
  <w:p>
    <w:pPr>
      <w:jc w:val="right"/>
      <w:tabs>
        <w:tab w:val="clear" w:pos="4680" w:leader="none"/>
        <w:tab w:val="left" w:pos="8580" w:leader="none"/>
        <w:tab w:val="clear" w:pos="9360" w:leader="none"/>
      </w:tabs>
      <w:pStyle w:val="P1"/>
    </w:pPr>
    <w:r>
      <w:tab/>
    </w:r>
    <w:r>
      <w:drawing>
        <wp:inline>
          <wp:extent cx="685800" cy="685800"/>
          <wp:docPr id="2" name="Picture 3"/>
          <wp:cNvGraphicFramePr>
            <a:graphicFrameLocks noChangeAspect="1"/>
          </wp:cNvGraphicFramePr>
          <a:graphic>
            <a:graphicData uri="http://schemas.openxmlformats.org/drawingml/2006/picture">
              <pic:pic>
                <pic:nvPicPr>
                  <pic:cNvPr id="2" name="Picture 1"/>
                  <pic:cNvPicPr/>
                </pic:nvPicPr>
                <pic:blipFill>
                  <a:blip r:embed="Image3"/>
                  <a:stretch>
                    <a:fillRect/>
                  </a:stretch>
                </pic:blipFill>
                <pic:spPr>
                  <a:xfrm>
                    <a:off x="0" y="0"/>
                    <a:ext cx="685800" cy="685800"/>
                  </a:xfrm>
                  <a:prstGeom prst="rect"/>
                  <a:noFill/>
                </pic:spPr>
              </pic:pic>
            </a:graphicData>
          </a:graphic>
        </wp:inline>
      </w:drawing>
    </w:r>
  </w:p>
</w:hdr>
</file>

<file path=word/numbering.xml><?xml version="1.0" encoding="utf-8"?>
<w:numbering xmlns:w="http://schemas.openxmlformats.org/wordprocessingml/2006/main">
  <w:abstractNum w:abstractNumId="0">
    <w:nsid w:val="00000001"/>
    <w:multiLevelType w:val="multilevel"/>
    <w:lvl w:ilvl="0">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 w:right="0"/>
        <w:outlineLvl w:val="9"/>
      </w:pPr>
      <w:rPr/>
    </w:lvl>
    <w:lvl w:ilvl="1">
      <w:start w:val="1"/>
      <w:numFmt w:val="decimal"/>
      <w:suff w:val="tab"/>
      <w:lvlText w:val="%1.%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432" w:left="792" w:right="0"/>
        <w:outlineLvl w:val="9"/>
      </w:pPr>
      <w:rPr/>
    </w:lvl>
    <w:lvl w:ilvl="2">
      <w:start w:val="1"/>
      <w:numFmt w:val="decimal"/>
      <w:suff w:val="tab"/>
      <w:lvlText w:val="%1.%2.%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504" w:left="1224" w:right="0"/>
        <w:outlineLvl w:val="9"/>
      </w:pPr>
      <w:rPr/>
    </w:lvl>
    <w:lvl w:ilvl="3">
      <w:start w:val="1"/>
      <w:numFmt w:val="decimal"/>
      <w:suff w:val="tab"/>
      <w:lvlText w:val="%1.%2.%3.%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648" w:left="1728" w:right="0"/>
        <w:outlineLvl w:val="9"/>
      </w:pPr>
      <w:rPr/>
    </w:lvl>
    <w:lvl w:ilvl="4">
      <w:start w:val="1"/>
      <w:numFmt w:val="decimal"/>
      <w:suff w:val="tab"/>
      <w:lvlText w:val="%1.%2.%3.%4.%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792" w:left="2232" w:right="0"/>
        <w:outlineLvl w:val="9"/>
      </w:pPr>
      <w:rPr/>
    </w:lvl>
    <w:lvl w:ilvl="5">
      <w:start w:val="1"/>
      <w:numFmt w:val="decimal"/>
      <w:suff w:val="tab"/>
      <w:lvlText w:val="%1.%2.%3.%4.%5.%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936" w:left="2736" w:right="0"/>
        <w:outlineLvl w:val="9"/>
      </w:pPr>
      <w:rPr/>
    </w:lvl>
    <w:lvl w:ilvl="6">
      <w:start w:val="1"/>
      <w:numFmt w:val="decimal"/>
      <w:suff w:val="tab"/>
      <w:lvlText w:val="%1.%2.%3.%4.%5.%6.%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080" w:left="3240" w:right="0"/>
        <w:outlineLvl w:val="9"/>
      </w:pPr>
      <w:rPr/>
    </w:lvl>
    <w:lvl w:ilvl="7">
      <w:start w:val="1"/>
      <w:numFmt w:val="decimal"/>
      <w:suff w:val="tab"/>
      <w:lvlText w:val="%1.%2.%3.%4.%5.%6.%7.%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224" w:left="3744" w:right="0"/>
        <w:outlineLvl w:val="9"/>
      </w:pPr>
      <w:rPr/>
    </w:lvl>
    <w:lvl w:ilvl="8">
      <w:start w:val="1"/>
      <w:numFmt w:val="decimal"/>
      <w:suff w:val="tab"/>
      <w:lvlText w:val="%1.%2.%3.%4.%5.%6.%7.%8.%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440" w:left="4320" w:right="0"/>
        <w:outlineLvl w:val="9"/>
      </w:pPr>
      <w:rPr/>
    </w:lvl>
  </w:abstractNum>
  <w:abstractNum w:abstractNumId="1">
    <w:nsid w:val="00000002"/>
    <w:multiLevelType w:val="multilevel"/>
    <w:lvl w:ilvl="0">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 w:right="0"/>
        <w:outlineLvl w:val="9"/>
      </w:pPr>
      <w:rPr/>
    </w:lvl>
    <w:lvl w:ilvl="1">
      <w:start w:val="1"/>
      <w:numFmt w:val="decimal"/>
      <w:suff w:val="tab"/>
      <w:lvlText w:val="%1.%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432" w:left="792" w:right="0"/>
        <w:outlineLvl w:val="9"/>
      </w:pPr>
      <w:rPr/>
    </w:lvl>
    <w:lvl w:ilvl="2">
      <w:start w:val="1"/>
      <w:numFmt w:val="decimal"/>
      <w:suff w:val="tab"/>
      <w:lvlText w:val="%1.%2.%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504" w:left="1224" w:right="0"/>
        <w:outlineLvl w:val="9"/>
      </w:pPr>
      <w:rPr/>
    </w:lvl>
    <w:lvl w:ilvl="3">
      <w:start w:val="1"/>
      <w:numFmt w:val="decimal"/>
      <w:suff w:val="tab"/>
      <w:lvlText w:val="%1.%2.%3.%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648" w:left="1728" w:right="0"/>
        <w:outlineLvl w:val="9"/>
      </w:pPr>
      <w:rPr/>
    </w:lvl>
    <w:lvl w:ilvl="4">
      <w:start w:val="1"/>
      <w:numFmt w:val="decimal"/>
      <w:suff w:val="tab"/>
      <w:lvlText w:val="%1.%2.%3.%4.%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792" w:left="2232" w:right="0"/>
        <w:outlineLvl w:val="9"/>
      </w:pPr>
      <w:rPr/>
    </w:lvl>
    <w:lvl w:ilvl="5">
      <w:start w:val="1"/>
      <w:numFmt w:val="decimal"/>
      <w:suff w:val="tab"/>
      <w:lvlText w:val="%1.%2.%3.%4.%5.%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936" w:left="2736" w:right="0"/>
        <w:outlineLvl w:val="9"/>
      </w:pPr>
      <w:rPr/>
    </w:lvl>
    <w:lvl w:ilvl="6">
      <w:start w:val="1"/>
      <w:numFmt w:val="decimal"/>
      <w:suff w:val="tab"/>
      <w:lvlText w:val="%1.%2.%3.%4.%5.%6.%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080" w:left="3240" w:right="0"/>
        <w:outlineLvl w:val="9"/>
      </w:pPr>
      <w:rPr/>
    </w:lvl>
    <w:lvl w:ilvl="7">
      <w:start w:val="1"/>
      <w:numFmt w:val="decimal"/>
      <w:suff w:val="tab"/>
      <w:lvlText w:val="%1.%2.%3.%4.%5.%6.%7.%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224" w:left="3744" w:right="0"/>
        <w:outlineLvl w:val="9"/>
      </w:pPr>
      <w:rPr/>
    </w:lvl>
    <w:lvl w:ilvl="8">
      <w:start w:val="1"/>
      <w:numFmt w:val="decimal"/>
      <w:suff w:val="tab"/>
      <w:lvlText w:val="%1.%2.%3.%4.%5.%6.%7.%8.%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440" w:left="4320" w:right="0"/>
        <w:outlineLvl w:val="9"/>
      </w:pPr>
      <w:rPr/>
    </w:lvl>
  </w:abstractNum>
  <w:abstractNum w:abstractNumId="2">
    <w:nsid w:val="00000003"/>
    <w:multiLevelType w:val="multilevel"/>
    <w:lvl w:ilvl="0">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 w:right="0"/>
        <w:outlineLvl w:val="9"/>
      </w:pPr>
      <w:rPr/>
    </w:lvl>
    <w:lvl w:ilvl="1">
      <w:start w:val="1"/>
      <w:numFmt w:val="decimal"/>
      <w:suff w:val="tab"/>
      <w:lvlText w:val="%1.%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432" w:left="792" w:right="0"/>
        <w:outlineLvl w:val="9"/>
      </w:pPr>
      <w:rPr/>
    </w:lvl>
    <w:lvl w:ilvl="2">
      <w:start w:val="1"/>
      <w:numFmt w:val="decimal"/>
      <w:suff w:val="tab"/>
      <w:lvlText w:val="%1.%2.%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504" w:left="1224" w:right="0"/>
        <w:outlineLvl w:val="9"/>
      </w:pPr>
      <w:rPr/>
    </w:lvl>
    <w:lvl w:ilvl="3">
      <w:start w:val="1"/>
      <w:numFmt w:val="decimal"/>
      <w:suff w:val="tab"/>
      <w:lvlText w:val="%1.%2.%3.%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648" w:left="1728" w:right="0"/>
        <w:outlineLvl w:val="9"/>
      </w:pPr>
      <w:rPr/>
    </w:lvl>
    <w:lvl w:ilvl="4">
      <w:start w:val="1"/>
      <w:numFmt w:val="decimal"/>
      <w:suff w:val="tab"/>
      <w:lvlText w:val="%1.%2.%3.%4.%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792" w:left="2232" w:right="0"/>
        <w:outlineLvl w:val="9"/>
      </w:pPr>
      <w:rPr/>
    </w:lvl>
    <w:lvl w:ilvl="5">
      <w:start w:val="1"/>
      <w:numFmt w:val="decimal"/>
      <w:suff w:val="tab"/>
      <w:lvlText w:val="%1.%2.%3.%4.%5.%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936" w:left="2736" w:right="0"/>
        <w:outlineLvl w:val="9"/>
      </w:pPr>
      <w:rPr/>
    </w:lvl>
    <w:lvl w:ilvl="6">
      <w:start w:val="1"/>
      <w:numFmt w:val="decimal"/>
      <w:suff w:val="tab"/>
      <w:lvlText w:val="%1.%2.%3.%4.%5.%6.%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080" w:left="3240" w:right="0"/>
        <w:outlineLvl w:val="9"/>
      </w:pPr>
      <w:rPr/>
    </w:lvl>
    <w:lvl w:ilvl="7">
      <w:start w:val="1"/>
      <w:numFmt w:val="decimal"/>
      <w:suff w:val="tab"/>
      <w:lvlText w:val="%1.%2.%3.%4.%5.%6.%7.%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224" w:left="3744" w:right="0"/>
        <w:outlineLvl w:val="9"/>
      </w:pPr>
      <w:rPr/>
    </w:lvl>
    <w:lvl w:ilvl="8">
      <w:start w:val="1"/>
      <w:numFmt w:val="decimal"/>
      <w:suff w:val="tab"/>
      <w:lvlText w:val="%1.%2.%3.%4.%5.%6.%7.%8.%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1440" w:left="4320" w:right="0"/>
        <w:outlineLvl w:val="9"/>
      </w:pPr>
      <w:rPr/>
    </w:lvl>
  </w:abstractNum>
  <w:abstractNum w:abstractNumId="3">
    <w:nsid w:val="00000004"/>
    <w:multiLevelType w:val="hybridMultilevel"/>
    <w:lvl w:ilvl="0" w:tplc="784b5b1e">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720" w:right="0"/>
        <w:outlineLvl w:val="9"/>
      </w:pPr>
      <w:rPr/>
    </w:lvl>
    <w:lvl w:ilvl="1" w:tplc="0851407d">
      <w:start w:val="1"/>
      <w:numFmt w:val="decimal"/>
      <w:suff w:val="tab"/>
      <w:lvlText w:val="%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1440" w:right="0"/>
        <w:outlineLvl w:val="9"/>
      </w:pPr>
      <w:rPr/>
    </w:lvl>
    <w:lvl w:ilvl="2" w:tplc="58bf6524">
      <w:start w:val="1"/>
      <w:numFmt w:val="decimal"/>
      <w:suff w:val="tab"/>
      <w:lvlText w:val="%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160" w:right="0"/>
        <w:outlineLvl w:val="9"/>
      </w:pPr>
      <w:rPr/>
    </w:lvl>
    <w:lvl w:ilvl="3" w:tplc="3768e2d3">
      <w:start w:val="1"/>
      <w:numFmt w:val="decimal"/>
      <w:suff w:val="tab"/>
      <w:lvlText w:val="%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880" w:right="0"/>
        <w:outlineLvl w:val="9"/>
      </w:pPr>
      <w:rPr/>
    </w:lvl>
    <w:lvl w:ilvl="4" w:tplc="73f31e52">
      <w:start w:val="1"/>
      <w:numFmt w:val="decimal"/>
      <w:suff w:val="tab"/>
      <w:lvlText w:val="%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0" w:right="0"/>
        <w:outlineLvl w:val="9"/>
      </w:pPr>
      <w:rPr/>
    </w:lvl>
    <w:lvl w:ilvl="5" w:tplc="5abc78be">
      <w:start w:val="1"/>
      <w:numFmt w:val="decimal"/>
      <w:suff w:val="tab"/>
      <w:lvlText w:val="%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4320" w:right="0"/>
        <w:outlineLvl w:val="9"/>
      </w:pPr>
      <w:rPr/>
    </w:lvl>
    <w:lvl w:ilvl="6" w:tplc="435cc857">
      <w:start w:val="1"/>
      <w:numFmt w:val="decimal"/>
      <w:suff w:val="tab"/>
      <w:lvlText w:val="%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040" w:right="0"/>
        <w:outlineLvl w:val="9"/>
      </w:pPr>
      <w:rPr/>
    </w:lvl>
    <w:lvl w:ilvl="7" w:tplc="30123d56">
      <w:start w:val="1"/>
      <w:numFmt w:val="decimal"/>
      <w:suff w:val="tab"/>
      <w:lvlText w:val="%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760" w:right="0"/>
        <w:outlineLvl w:val="9"/>
      </w:pPr>
      <w:rPr/>
    </w:lvl>
    <w:lvl w:ilvl="8" w:tplc="1d97a483">
      <w:start w:val="1"/>
      <w:numFmt w:val="decimal"/>
      <w:suff w:val="tab"/>
      <w:lvlText w:val="%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6480" w:right="0"/>
        <w:outlineLvl w:val="9"/>
      </w:pPr>
      <w:rPr/>
    </w:lvl>
  </w:abstractNum>
  <w:abstractNum w:abstractNumId="4">
    <w:nsid w:val="00000005"/>
    <w:multiLevelType w:val="hybridMultilevel"/>
    <w:lvl w:ilvl="0" w:tplc="784b5b1e">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720" w:right="0"/>
        <w:outlineLvl w:val="9"/>
      </w:pPr>
      <w:rPr/>
    </w:lvl>
    <w:lvl w:ilvl="1" w:tplc="0851407d">
      <w:start w:val="1"/>
      <w:numFmt w:val="decimal"/>
      <w:suff w:val="tab"/>
      <w:lvlText w:val="%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1440" w:right="0"/>
        <w:outlineLvl w:val="9"/>
      </w:pPr>
      <w:rPr/>
    </w:lvl>
    <w:lvl w:ilvl="2" w:tplc="58bf6524">
      <w:start w:val="1"/>
      <w:numFmt w:val="decimal"/>
      <w:suff w:val="tab"/>
      <w:lvlText w:val="%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160" w:right="0"/>
        <w:outlineLvl w:val="9"/>
      </w:pPr>
      <w:rPr/>
    </w:lvl>
    <w:lvl w:ilvl="3" w:tplc="3768e2d3">
      <w:start w:val="1"/>
      <w:numFmt w:val="decimal"/>
      <w:suff w:val="tab"/>
      <w:lvlText w:val="%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880" w:right="0"/>
        <w:outlineLvl w:val="9"/>
      </w:pPr>
      <w:rPr/>
    </w:lvl>
    <w:lvl w:ilvl="4" w:tplc="73f31e52">
      <w:start w:val="1"/>
      <w:numFmt w:val="decimal"/>
      <w:suff w:val="tab"/>
      <w:lvlText w:val="%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0" w:right="0"/>
        <w:outlineLvl w:val="9"/>
      </w:pPr>
      <w:rPr/>
    </w:lvl>
    <w:lvl w:ilvl="5" w:tplc="5abc78be">
      <w:start w:val="1"/>
      <w:numFmt w:val="decimal"/>
      <w:suff w:val="tab"/>
      <w:lvlText w:val="%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4320" w:right="0"/>
        <w:outlineLvl w:val="9"/>
      </w:pPr>
      <w:rPr/>
    </w:lvl>
    <w:lvl w:ilvl="6" w:tplc="435cc857">
      <w:start w:val="1"/>
      <w:numFmt w:val="decimal"/>
      <w:suff w:val="tab"/>
      <w:lvlText w:val="%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040" w:right="0"/>
        <w:outlineLvl w:val="9"/>
      </w:pPr>
      <w:rPr/>
    </w:lvl>
    <w:lvl w:ilvl="7" w:tplc="30123d56">
      <w:start w:val="1"/>
      <w:numFmt w:val="decimal"/>
      <w:suff w:val="tab"/>
      <w:lvlText w:val="%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760" w:right="0"/>
        <w:outlineLvl w:val="9"/>
      </w:pPr>
      <w:rPr/>
    </w:lvl>
    <w:lvl w:ilvl="8" w:tplc="1d97a483">
      <w:start w:val="1"/>
      <w:numFmt w:val="decimal"/>
      <w:suff w:val="tab"/>
      <w:lvlText w:val="%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6480" w:right="0"/>
        <w:outlineLvl w:val="9"/>
      </w:pPr>
      <w:rPr/>
    </w:lvl>
  </w:abstractNum>
  <w:abstractNum w:abstractNumId="5">
    <w:nsid w:val="00000006"/>
    <w:multiLevelType w:val="hybridMultilevel"/>
    <w:lvl w:ilvl="0" w:tplc="784b5b1e">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1080" w:right="0"/>
        <w:outlineLvl w:val="9"/>
      </w:pPr>
      <w:rPr/>
    </w:lvl>
    <w:lvl w:ilvl="1" w:tplc="0851407d">
      <w:start w:val="1"/>
      <w:numFmt w:val="decimal"/>
      <w:suff w:val="tab"/>
      <w:lvlText w:val="%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1800" w:right="0"/>
        <w:outlineLvl w:val="9"/>
      </w:pPr>
      <w:rPr/>
    </w:lvl>
    <w:lvl w:ilvl="2" w:tplc="58bf6524">
      <w:start w:val="1"/>
      <w:numFmt w:val="decimal"/>
      <w:suff w:val="tab"/>
      <w:lvlText w:val="%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520" w:right="0"/>
        <w:outlineLvl w:val="9"/>
      </w:pPr>
      <w:rPr/>
    </w:lvl>
    <w:lvl w:ilvl="3" w:tplc="3768e2d3">
      <w:start w:val="1"/>
      <w:numFmt w:val="decimal"/>
      <w:suff w:val="tab"/>
      <w:lvlText w:val="%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240" w:right="0"/>
        <w:outlineLvl w:val="9"/>
      </w:pPr>
      <w:rPr/>
    </w:lvl>
    <w:lvl w:ilvl="4" w:tplc="73f31e52">
      <w:start w:val="1"/>
      <w:numFmt w:val="decimal"/>
      <w:suff w:val="tab"/>
      <w:lvlText w:val="%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960" w:right="0"/>
        <w:outlineLvl w:val="9"/>
      </w:pPr>
      <w:rPr/>
    </w:lvl>
    <w:lvl w:ilvl="5" w:tplc="5abc78be">
      <w:start w:val="1"/>
      <w:numFmt w:val="decimal"/>
      <w:suff w:val="tab"/>
      <w:lvlText w:val="%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4680" w:right="0"/>
        <w:outlineLvl w:val="9"/>
      </w:pPr>
      <w:rPr/>
    </w:lvl>
    <w:lvl w:ilvl="6" w:tplc="435cc857">
      <w:start w:val="1"/>
      <w:numFmt w:val="decimal"/>
      <w:suff w:val="tab"/>
      <w:lvlText w:val="%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400" w:right="0"/>
        <w:outlineLvl w:val="9"/>
      </w:pPr>
      <w:rPr/>
    </w:lvl>
    <w:lvl w:ilvl="7" w:tplc="30123d56">
      <w:start w:val="1"/>
      <w:numFmt w:val="decimal"/>
      <w:suff w:val="tab"/>
      <w:lvlText w:val="%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6120" w:right="0"/>
        <w:outlineLvl w:val="9"/>
      </w:pPr>
      <w:rPr/>
    </w:lvl>
    <w:lvl w:ilvl="8" w:tplc="1d97a483">
      <w:start w:val="1"/>
      <w:numFmt w:val="decimal"/>
      <w:suff w:val="tab"/>
      <w:lvlText w:val="%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6840" w:right="0"/>
        <w:outlineLvl w:val="9"/>
      </w:pPr>
      <w:rPr/>
    </w:lvl>
  </w:abstractNum>
  <w:abstractNum w:abstractNumId="6">
    <w:nsid w:val="00000007"/>
    <w:multiLevelType w:val="hybridMultilevel"/>
    <w:lvl w:ilvl="0" w:tplc="784b5b1e">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720" w:right="0"/>
        <w:outlineLvl w:val="9"/>
      </w:pPr>
      <w:rPr/>
    </w:lvl>
    <w:lvl w:ilvl="1" w:tplc="0851407d">
      <w:start w:val="1"/>
      <w:numFmt w:val="decimal"/>
      <w:suff w:val="tab"/>
      <w:lvlText w:val="%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1440" w:right="0"/>
        <w:outlineLvl w:val="9"/>
      </w:pPr>
      <w:rPr/>
    </w:lvl>
    <w:lvl w:ilvl="2" w:tplc="58bf6524">
      <w:start w:val="1"/>
      <w:numFmt w:val="decimal"/>
      <w:suff w:val="tab"/>
      <w:lvlText w:val="%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160" w:right="0"/>
        <w:outlineLvl w:val="9"/>
      </w:pPr>
      <w:rPr/>
    </w:lvl>
    <w:lvl w:ilvl="3" w:tplc="3768e2d3">
      <w:start w:val="1"/>
      <w:numFmt w:val="decimal"/>
      <w:suff w:val="tab"/>
      <w:lvlText w:val="%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880" w:right="0"/>
        <w:outlineLvl w:val="9"/>
      </w:pPr>
      <w:rPr/>
    </w:lvl>
    <w:lvl w:ilvl="4" w:tplc="73f31e52">
      <w:start w:val="1"/>
      <w:numFmt w:val="decimal"/>
      <w:suff w:val="tab"/>
      <w:lvlText w:val="%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0" w:right="0"/>
        <w:outlineLvl w:val="9"/>
      </w:pPr>
      <w:rPr/>
    </w:lvl>
    <w:lvl w:ilvl="5" w:tplc="5abc78be">
      <w:start w:val="1"/>
      <w:numFmt w:val="decimal"/>
      <w:suff w:val="tab"/>
      <w:lvlText w:val="%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4320" w:right="0"/>
        <w:outlineLvl w:val="9"/>
      </w:pPr>
      <w:rPr/>
    </w:lvl>
    <w:lvl w:ilvl="6" w:tplc="435cc857">
      <w:start w:val="1"/>
      <w:numFmt w:val="decimal"/>
      <w:suff w:val="tab"/>
      <w:lvlText w:val="%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040" w:right="0"/>
        <w:outlineLvl w:val="9"/>
      </w:pPr>
      <w:rPr/>
    </w:lvl>
    <w:lvl w:ilvl="7" w:tplc="30123d56">
      <w:start w:val="1"/>
      <w:numFmt w:val="decimal"/>
      <w:suff w:val="tab"/>
      <w:lvlText w:val="%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760" w:right="0"/>
        <w:outlineLvl w:val="9"/>
      </w:pPr>
      <w:rPr/>
    </w:lvl>
    <w:lvl w:ilvl="8" w:tplc="1d97a483">
      <w:start w:val="1"/>
      <w:numFmt w:val="decimal"/>
      <w:suff w:val="tab"/>
      <w:lvlText w:val="%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6480" w:right="0"/>
        <w:outlineLvl w:val="9"/>
      </w:pPr>
      <w:rPr/>
    </w:lvl>
  </w:abstractNum>
  <w:abstractNum w:abstractNumId="7">
    <w:nsid w:val="00000008"/>
    <w:multiLevelType w:val="hybridMultilevel"/>
    <w:lvl w:ilvl="0" w:tplc="784b5b1e">
      <w:start w:val="1"/>
      <w:numFmt w:val="decimal"/>
      <w:suff w:val="tab"/>
      <w:lvlText w:val="%1."/>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720" w:right="0"/>
        <w:outlineLvl w:val="9"/>
      </w:pPr>
      <w:rPr/>
    </w:lvl>
    <w:lvl w:ilvl="1" w:tplc="0851407d">
      <w:start w:val="1"/>
      <w:numFmt w:val="decimal"/>
      <w:suff w:val="tab"/>
      <w:lvlText w:val="%2."/>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1440" w:right="0"/>
        <w:outlineLvl w:val="9"/>
      </w:pPr>
      <w:rPr/>
    </w:lvl>
    <w:lvl w:ilvl="2" w:tplc="58bf6524">
      <w:start w:val="1"/>
      <w:numFmt w:val="decimal"/>
      <w:suff w:val="tab"/>
      <w:lvlText w:val="%3."/>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160" w:right="0"/>
        <w:outlineLvl w:val="9"/>
      </w:pPr>
      <w:rPr/>
    </w:lvl>
    <w:lvl w:ilvl="3" w:tplc="3768e2d3">
      <w:start w:val="1"/>
      <w:numFmt w:val="decimal"/>
      <w:suff w:val="tab"/>
      <w:lvlText w:val="%4."/>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2880" w:right="0"/>
        <w:outlineLvl w:val="9"/>
      </w:pPr>
      <w:rPr/>
    </w:lvl>
    <w:lvl w:ilvl="4" w:tplc="73f31e52">
      <w:start w:val="1"/>
      <w:numFmt w:val="decimal"/>
      <w:suff w:val="tab"/>
      <w:lvlText w:val="%5."/>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3600" w:right="0"/>
        <w:outlineLvl w:val="9"/>
      </w:pPr>
      <w:rPr/>
    </w:lvl>
    <w:lvl w:ilvl="5" w:tplc="5abc78be">
      <w:start w:val="1"/>
      <w:numFmt w:val="decimal"/>
      <w:suff w:val="tab"/>
      <w:lvlText w:val="%6."/>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4320" w:right="0"/>
        <w:outlineLvl w:val="9"/>
      </w:pPr>
      <w:rPr/>
    </w:lvl>
    <w:lvl w:ilvl="6" w:tplc="435cc857">
      <w:start w:val="1"/>
      <w:numFmt w:val="decimal"/>
      <w:suff w:val="tab"/>
      <w:lvlText w:val="%7."/>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040" w:right="0"/>
        <w:outlineLvl w:val="9"/>
      </w:pPr>
      <w:rPr/>
    </w:lvl>
    <w:lvl w:ilvl="7" w:tplc="30123d56">
      <w:start w:val="1"/>
      <w:numFmt w:val="decimal"/>
      <w:suff w:val="tab"/>
      <w:lvlText w:val="%8."/>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5760" w:right="0"/>
        <w:outlineLvl w:val="9"/>
      </w:pPr>
      <w:rPr/>
    </w:lvl>
    <w:lvl w:ilvl="8" w:tplc="1d97a483">
      <w:start w:val="1"/>
      <w:numFmt w:val="decimal"/>
      <w:suff w:val="tab"/>
      <w:lvlText w:val="%9."/>
      <w:lvlJc w:val="left"/>
      <w:pPr>
        <w:keepNext w:val="0"/>
        <w:keepLines w:val="0"/>
        <w:widowControl w:val="1"/>
        <w:suppressLineNumbers w:val="0"/>
        <w:shd w:val="clear" w:fill="auto"/>
        <w:suppressAutoHyphens w:val="0"/>
        <w:bidi w:val="0"/>
        <w:contextualSpacing w:val="0"/>
        <w:jc w:val="left"/>
        <w:pBdr>
          <w:top w:val="none" w:sz="0" w:space="0" w:shadow="0" w:frame="0"/>
          <w:left w:val="none" w:sz="0" w:space="0" w:shadow="0" w:frame="0"/>
          <w:bottom w:val="none" w:sz="0" w:space="0" w:shadow="0" w:frame="0"/>
          <w:right w:val="none" w:sz="0" w:space="0" w:shadow="0" w:frame="0"/>
          <w:between w:val="none" w:sz="0" w:space="0" w:shadow="0" w:frame="0"/>
        </w:pBdr>
        <w:spacing w:lineRule="auto" w:line="240" w:before="0" w:after="0" w:beforeAutospacing="0" w:afterAutospacing="0"/>
        <w:ind w:hanging="360" w:left="6480" w:right="0"/>
        <w:outlineLvl w:val="9"/>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mall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contextualSpacing w:val="0"/>
        <w:jc w:val="left"/>
        <w:spacing w:lineRule="auto" w:line="259" w:before="0" w:after="160" w:beforeAutospacing="0" w:afterAutospacing="0"/>
        <w:ind w:firstLine="0" w:left="0" w:right="0"/>
        <w:outlineLvl w:val="9"/>
      </w:pPr>
    </w:pPrDefault>
  </w:docDefaults>
  <w:style w:type="paragraph" w:styleId="P0" w:default="1">
    <w:name w:val="Normal"/>
    <w:pPr/>
    <w:rPr>
      <w:lang w:val="hr-HR"/>
    </w:rPr>
  </w:style>
  <w:style w:type="paragraph" w:styleId="P1">
    <w:name w:val="Header"/>
    <w:basedOn w:val="P0"/>
    <w:pPr>
      <w:spacing w:lineRule="auto" w:line="240" w:after="0" w:beforeAutospacing="0" w:afterAutospacing="0"/>
      <w:tabs>
        <w:tab w:val="center" w:pos="4680" w:leader="none"/>
        <w:tab w:val="right" w:pos="9360" w:leader="none"/>
      </w:tabs>
    </w:pPr>
    <w:rPr/>
  </w:style>
  <w:style w:type="paragraph" w:styleId="P2">
    <w:name w:val="Footer"/>
    <w:basedOn w:val="P0"/>
    <w:pPr>
      <w:spacing w:lineRule="auto" w:line="240" w:after="0" w:beforeAutospacing="0" w:afterAutospacing="0"/>
      <w:tabs>
        <w:tab w:val="center" w:pos="4680" w:leader="none"/>
        <w:tab w:val="right" w:pos="9360" w:leader="none"/>
      </w:tabs>
    </w:pPr>
    <w:rPr/>
  </w:style>
  <w:style w:type="character" w:styleId="C0" w:default="1">
    <w:semiHidden/>
    <w:name w:val="Default Paragraph Font"/>
    <w:rPr/>
  </w:style>
  <w:style w:type="character" w:styleId="C1">
    <w:name w:val="Hyperlink"/>
    <w:rPr>
      <w:color w:val="0000ff"/>
      <w:u w:val="single"/>
    </w:rPr>
  </w:style>
  <w:style w:type="character" w:styleId="C2">
    <w:semiHidden/>
    <w:name w:val="Line Number"/>
    <w:basedOn w:val="C0"/>
    <w:rPr/>
  </w:style>
  <w:style w:type="table" w:styleId="T0" w:default="1">
    <w:name w:val="Normal Table"/>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
<Relationships xmlns="http://schemas.openxmlformats.org/package/2006/relationships"><Relationship Id="Image2" Type="http://schemas.openxmlformats.org/officeDocument/2006/relationships/image" Target="media/image2.png"/><Relationship Id="header1" Type="http://schemas.openxmlformats.org/officeDocument/2006/relationships/header" Target="header1.xml"/><Relationship Id="header2" Type="http://schemas.openxmlformats.org/officeDocument/2006/relationships/header" Target="header2.xml"/><Relationship Id="footer3" Type="http://schemas.openxmlformats.org/officeDocument/2006/relationships/footer" Target="footer3.xml"/><Relationship Id="RelStyle1" Type="http://schemas.openxmlformats.org/officeDocument/2006/relationships/styles" Target="styles.xml"/><Relationship Id="RelNum1" Type="http://schemas.openxmlformats.org/officeDocument/2006/relationships/numbering" Target="numbering.xml"/><Relationship Id="RelSettings1" Type="http://schemas.openxmlformats.org/officeDocument/2006/relationships/settings" Target="settings.xml"/><Relationship Id="RelTheme1" Type="http://schemas.openxmlformats.org/officeDocument/2006/relationships/theme" Target="theme/theme1.xml"/></Relationships>
</file>

<file path=word/_rels/header1.xml.rels><?xml version="1.0" encoding="utf-8"?>
<Relationships xmlns="http://schemas.openxmlformats.org/package/2006/relationships"><Relationship Id="Image3" Type="http://schemas.openxmlformats.org/officeDocument/2006/relationships/image" Target="media/image3.png"/></Relationships>
</file>

<file path=word/_rels/header2.xml.rels><?xml version="1.0" encoding="utf-8"?>
<Relationships xmlns="http://schemas.openxmlformats.org/package/2006/relationships"><Relationship Id="Image3"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Light"/>
        <a:font script="Hant" typeface="新細明體"/>
        <a:font script="Hebr" typeface="Times New Roman"/>
        <a:font script="Jpan" typeface="游ゴシック Light"/>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a:font script="Hant" typeface="新細明體"/>
        <a:font script="Hebr" typeface="Arial"/>
        <a:font script="Jpan" typeface="游明朝"/>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2026-07-29T10:36:20Z</dcterms:created>
  <dcterms:modified xsi:type="dcterms:W3CDTF">2026-07-29T10:36:20Z</dcterms:modified>
</cp:coreProperties>
</file>