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A05" w14:textId="0469CA65" w:rsidR="009B465F" w:rsidRDefault="009B465F" w:rsidP="00B52F85">
      <w:pPr>
        <w:pStyle w:val="StandardWeb"/>
        <w:spacing w:before="0" w:beforeAutospacing="0" w:after="120" w:afterAutospacing="0" w:line="276" w:lineRule="auto"/>
        <w:ind w:right="-142" w:firstLine="708"/>
        <w:jc w:val="both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 xml:space="preserve">), </w:t>
      </w:r>
      <w:r>
        <w:t>pročelni</w:t>
      </w:r>
      <w:r w:rsidR="00C74E52">
        <w:t>k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11258276"/>
      <w:r w:rsidR="00C74E52">
        <w:rPr>
          <w:rStyle w:val="Istaknuto"/>
          <w:rFonts w:eastAsiaTheme="majorEastAsia"/>
          <w:bCs/>
          <w:i w:val="0"/>
        </w:rPr>
        <w:t xml:space="preserve">zaštitu okoliša i komunalne poslove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1C50BE20" w14:textId="07BA23AC" w:rsidR="009B465F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U UPRAVNI ODJEL ZA </w:t>
      </w:r>
      <w:r w:rsidR="00C74E52" w:rsidRPr="00C74E52">
        <w:rPr>
          <w:rStyle w:val="Istaknuto"/>
          <w:rFonts w:eastAsiaTheme="majorEastAsia"/>
          <w:b/>
          <w:i w:val="0"/>
        </w:rPr>
        <w:t>ZAŠTITU OKOLIŠA I KOMUNALNE POSLOVE</w:t>
      </w:r>
      <w:r w:rsidR="00C74E52">
        <w:rPr>
          <w:rStyle w:val="Istaknuto"/>
          <w:rFonts w:eastAsiaTheme="majorEastAsia"/>
          <w:bCs/>
          <w:i w:val="0"/>
        </w:rPr>
        <w:t xml:space="preserve"> </w:t>
      </w:r>
    </w:p>
    <w:p w14:paraId="11EED1D4" w14:textId="77777777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327054EF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 xml:space="preserve">na određeno vrijeme </w:t>
      </w:r>
      <w:r w:rsidR="00B52F85">
        <w:rPr>
          <w:rStyle w:val="Istaknuto"/>
          <w:rFonts w:eastAsiaTheme="majorEastAsia"/>
          <w:bCs/>
          <w:i w:val="0"/>
        </w:rPr>
        <w:t xml:space="preserve">do kraja trajanja projekta (planirano trajanje projekta od 42 mjeseca) radi </w:t>
      </w:r>
      <w:r w:rsidR="007325A7">
        <w:rPr>
          <w:rStyle w:val="Istaknuto"/>
          <w:rFonts w:eastAsiaTheme="majorEastAsia"/>
          <w:bCs/>
          <w:i w:val="0"/>
        </w:rPr>
        <w:t>obavljanja privremenih poslova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 w:rsidR="00B52F85" w:rsidRPr="00B52F85">
        <w:rPr>
          <w:rStyle w:val="Istaknuto"/>
          <w:rFonts w:eastAsiaTheme="majorEastAsia"/>
          <w:bCs/>
          <w:i w:val="0"/>
        </w:rPr>
        <w:t>vezanim uz provedbu projektnih aktivnosti na EU projektu REALIST (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adRiatic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 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climatE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 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coAstal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 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resllience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 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Strategic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 </w:t>
      </w:r>
      <w:proofErr w:type="spellStart"/>
      <w:r w:rsidR="00B52F85" w:rsidRPr="00B52F85">
        <w:rPr>
          <w:rStyle w:val="Istaknuto"/>
          <w:rFonts w:eastAsiaTheme="majorEastAsia"/>
          <w:bCs/>
          <w:i w:val="0"/>
        </w:rPr>
        <w:t>Taskforce</w:t>
      </w:r>
      <w:proofErr w:type="spellEnd"/>
      <w:r w:rsidR="00B52F85" w:rsidRPr="00B52F85">
        <w:rPr>
          <w:rStyle w:val="Istaknuto"/>
          <w:rFonts w:eastAsiaTheme="majorEastAsia"/>
          <w:bCs/>
          <w:i w:val="0"/>
        </w:rPr>
        <w:t xml:space="preserve">), </w:t>
      </w:r>
      <w:r>
        <w:rPr>
          <w:rStyle w:val="Istaknuto"/>
          <w:rFonts w:eastAsiaTheme="majorEastAsia"/>
          <w:bCs/>
          <w:i w:val="0"/>
        </w:rPr>
        <w:t>na radn</w:t>
      </w:r>
      <w:r w:rsidR="003866A1">
        <w:rPr>
          <w:rStyle w:val="Istaknuto"/>
          <w:rFonts w:eastAsiaTheme="majorEastAsia"/>
          <w:bCs/>
          <w:i w:val="0"/>
        </w:rPr>
        <w:t>o</w:t>
      </w:r>
      <w:r>
        <w:rPr>
          <w:rStyle w:val="Istaknuto"/>
          <w:rFonts w:eastAsiaTheme="majorEastAsia"/>
          <w:bCs/>
          <w:i w:val="0"/>
        </w:rPr>
        <w:t xml:space="preserve"> 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bookmarkStart w:id="1" w:name="_Hlk211259522"/>
      <w:r w:rsidR="003866A1">
        <w:rPr>
          <w:rStyle w:val="Istaknuto"/>
          <w:rFonts w:eastAsiaTheme="majorEastAsia"/>
          <w:bCs/>
          <w:i w:val="0"/>
        </w:rPr>
        <w:t>viši stručni suradnik</w:t>
      </w:r>
      <w:r w:rsidR="00B52F85">
        <w:rPr>
          <w:rStyle w:val="Istaknuto"/>
          <w:rFonts w:eastAsiaTheme="majorEastAsia"/>
          <w:bCs/>
          <w:i w:val="0"/>
        </w:rPr>
        <w:t xml:space="preserve"> I za poslove vezane uz upravljanje EU projektom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>u Upravni odjel za</w:t>
      </w:r>
      <w:r w:rsidR="00B52F85">
        <w:rPr>
          <w:rStyle w:val="Istaknuto"/>
          <w:rFonts w:eastAsiaTheme="majorEastAsia"/>
          <w:bCs/>
          <w:i w:val="0"/>
        </w:rPr>
        <w:t xml:space="preserve"> zaštitu okoliša </w:t>
      </w:r>
      <w:r w:rsidR="005A7D3A">
        <w:rPr>
          <w:rStyle w:val="Istaknuto"/>
          <w:rFonts w:eastAsiaTheme="majorEastAsia"/>
          <w:bCs/>
          <w:i w:val="0"/>
        </w:rPr>
        <w:t xml:space="preserve">i </w:t>
      </w:r>
      <w:r w:rsidR="00B52F85">
        <w:rPr>
          <w:rStyle w:val="Istaknuto"/>
          <w:rFonts w:eastAsiaTheme="majorEastAsia"/>
          <w:bCs/>
          <w:i w:val="0"/>
        </w:rPr>
        <w:t xml:space="preserve">komunalne poslove </w:t>
      </w:r>
      <w:bookmarkEnd w:id="1"/>
      <w:r w:rsidR="00B52F85">
        <w:rPr>
          <w:rStyle w:val="Istaknuto"/>
          <w:rFonts w:eastAsiaTheme="majorEastAsia"/>
          <w:bCs/>
          <w:i w:val="0"/>
        </w:rPr>
        <w:t xml:space="preserve">Dubrovačko-neretvanske županije,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 xml:space="preserve">je u Hrvatskom zavodu za zapošljavanje od </w:t>
      </w:r>
      <w:r w:rsidR="00733DC4">
        <w:rPr>
          <w:rStyle w:val="Istaknuto"/>
          <w:rFonts w:eastAsiaTheme="majorEastAsia"/>
          <w:bCs/>
          <w:i w:val="0"/>
        </w:rPr>
        <w:t>1</w:t>
      </w:r>
      <w:r w:rsidR="00FC45E8">
        <w:rPr>
          <w:rStyle w:val="Istaknuto"/>
          <w:rFonts w:eastAsiaTheme="majorEastAsia"/>
          <w:bCs/>
          <w:i w:val="0"/>
        </w:rPr>
        <w:t>5</w:t>
      </w:r>
      <w:r w:rsidR="00733DC4">
        <w:rPr>
          <w:rStyle w:val="Istaknuto"/>
          <w:rFonts w:eastAsiaTheme="majorEastAsia"/>
          <w:bCs/>
          <w:i w:val="0"/>
        </w:rPr>
        <w:t xml:space="preserve">. </w:t>
      </w:r>
      <w:r w:rsidR="00B52F85">
        <w:rPr>
          <w:rStyle w:val="Istaknuto"/>
          <w:rFonts w:eastAsiaTheme="majorEastAsia"/>
          <w:bCs/>
          <w:i w:val="0"/>
        </w:rPr>
        <w:t xml:space="preserve">listopada </w:t>
      </w:r>
      <w:r w:rsidRPr="005B0146">
        <w:rPr>
          <w:rStyle w:val="Istaknuto"/>
          <w:rFonts w:eastAsiaTheme="majorEastAsia"/>
          <w:bCs/>
          <w:i w:val="0"/>
        </w:rPr>
        <w:t>2025. godine.</w:t>
      </w:r>
    </w:p>
    <w:p w14:paraId="1E02620C" w14:textId="09FDE481" w:rsid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 viši stručni suradnik I </w:t>
      </w:r>
      <w:r w:rsidR="009337F3">
        <w:rPr>
          <w:b/>
        </w:rPr>
        <w:t>z</w:t>
      </w:r>
      <w:r w:rsidR="009337F3" w:rsidRPr="009337F3">
        <w:rPr>
          <w:b/>
        </w:rPr>
        <w:t xml:space="preserve">a poslove vezane uz upravljanje EU projektom u Upravni odjel za zaštitu okoliša </w:t>
      </w:r>
      <w:r w:rsidR="005A7D3A">
        <w:rPr>
          <w:b/>
        </w:rPr>
        <w:t xml:space="preserve">i </w:t>
      </w:r>
      <w:r w:rsidR="009337F3" w:rsidRPr="009337F3">
        <w:rPr>
          <w:b/>
        </w:rPr>
        <w:t xml:space="preserve">komunalne poslove </w:t>
      </w:r>
      <w:r w:rsidR="007325A7">
        <w:rPr>
          <w:b/>
        </w:rPr>
        <w:t xml:space="preserve">- </w:t>
      </w:r>
      <w:r>
        <w:rPr>
          <w:b/>
        </w:rPr>
        <w:t>NE OTVARAJ“.</w:t>
      </w:r>
    </w:p>
    <w:p w14:paraId="073070A9" w14:textId="77777777" w:rsidR="009E78EC" w:rsidRDefault="009E78EC" w:rsidP="009E78EC">
      <w:pPr>
        <w:spacing w:after="120"/>
        <w:ind w:right="-142"/>
        <w:jc w:val="both"/>
        <w:rPr>
          <w:rFonts w:eastAsiaTheme="majorEastAsia"/>
          <w:b/>
        </w:rPr>
      </w:pPr>
    </w:p>
    <w:p w14:paraId="2E07B4AD" w14:textId="5C781E54" w:rsidR="00D246B1" w:rsidRP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7DF2CA38" w14:textId="360A6720" w:rsidR="009E78EC" w:rsidRDefault="009E78EC" w:rsidP="009E78EC">
      <w:pPr>
        <w:pStyle w:val="Odlomakpopisa"/>
        <w:numPr>
          <w:ilvl w:val="0"/>
          <w:numId w:val="11"/>
        </w:numPr>
        <w:jc w:val="both"/>
      </w:pPr>
      <w:r>
        <w:t>obavlja stručne i/ili financijske,  i/ili administrativne, i/ili poslove promocije i prezentacije EU projekta odnosno druge poslove u svezi upravljanja i provođenja EU projekta.</w:t>
      </w:r>
    </w:p>
    <w:p w14:paraId="6644BF5A" w14:textId="64BEB5B6" w:rsidR="009E78EC" w:rsidRDefault="009E78EC" w:rsidP="009E78EC">
      <w:pPr>
        <w:pStyle w:val="Odlomakpopisa"/>
        <w:numPr>
          <w:ilvl w:val="0"/>
          <w:numId w:val="11"/>
        </w:numPr>
        <w:jc w:val="both"/>
      </w:pPr>
      <w:r>
        <w:t>priprema i/ili izdaje odgovarajuće akte i/ili izrađuje odgovarajuća izvješća za EU projekt</w:t>
      </w:r>
    </w:p>
    <w:p w14:paraId="133019DA" w14:textId="7480E5C5" w:rsidR="009E78EC" w:rsidRDefault="009E78EC" w:rsidP="00F5083D">
      <w:pPr>
        <w:pStyle w:val="Odlomakpopisa"/>
        <w:numPr>
          <w:ilvl w:val="0"/>
          <w:numId w:val="11"/>
        </w:numPr>
        <w:jc w:val="both"/>
      </w:pPr>
      <w:r>
        <w:t>proučava i stručno obrađuje složenija pitanja vezana uz EU projekt koji se financira iz fondova ili programa E</w:t>
      </w:r>
      <w:r w:rsidR="009337F3">
        <w:t>U</w:t>
      </w:r>
      <w:r>
        <w:t xml:space="preserve"> za vrijeme ugovorenog trajanja projekta</w:t>
      </w:r>
    </w:p>
    <w:p w14:paraId="3D10D704" w14:textId="11322E19" w:rsidR="00165BC3" w:rsidRDefault="009E78EC" w:rsidP="009E78EC">
      <w:pPr>
        <w:pStyle w:val="Odlomakpopisa"/>
        <w:numPr>
          <w:ilvl w:val="0"/>
          <w:numId w:val="11"/>
        </w:numPr>
        <w:jc w:val="both"/>
      </w:pPr>
      <w:r>
        <w:t>obavlja druge poslove u svezi upravljanja i provođenja EU projek</w:t>
      </w:r>
      <w:r w:rsidR="009337F3">
        <w:t>a</w:t>
      </w:r>
      <w:r>
        <w:t xml:space="preserve">ta kao i </w:t>
      </w:r>
      <w:r w:rsidR="009337F3">
        <w:t xml:space="preserve">druge </w:t>
      </w:r>
      <w:r>
        <w:t xml:space="preserve">poslove </w:t>
      </w:r>
      <w:r w:rsidR="009337F3">
        <w:t xml:space="preserve">iz nadležnosti upravnog odjela po </w:t>
      </w:r>
      <w:r>
        <w:t>nalogu upravitelja projekta i/ili pročelnika upravnog tijela.</w:t>
      </w:r>
    </w:p>
    <w:p w14:paraId="380F0446" w14:textId="77777777" w:rsidR="00165BC3" w:rsidRDefault="00165BC3" w:rsidP="00D246B1"/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50CB0DBA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Plaću radnog mjesta Viši stručni suradnik I </w:t>
      </w:r>
      <w:r w:rsidR="009337F3" w:rsidRPr="009337F3">
        <w:rPr>
          <w:rStyle w:val="Istaknuto"/>
          <w:rFonts w:eastAsiaTheme="majorEastAsia"/>
          <w:bCs/>
          <w:i w:val="0"/>
        </w:rPr>
        <w:t xml:space="preserve">za poslove vezane uz upravljanje EU projektom </w:t>
      </w:r>
      <w:r>
        <w:rPr>
          <w:rStyle w:val="Istaknuto"/>
          <w:rFonts w:eastAsiaTheme="majorEastAsia"/>
          <w:bCs/>
          <w:i w:val="0"/>
        </w:rPr>
        <w:t xml:space="preserve">čini umnožak koeficijenta složenosti poslova 2,70 i osnovice za obračun plaće za pripadajući mjesec, uvećan za 0,5 % za svaku navršenu godinu radnog staža. </w:t>
      </w:r>
    </w:p>
    <w:p w14:paraId="003B0B58" w14:textId="64B54215" w:rsidR="00C471C0" w:rsidRDefault="00C471C0" w:rsidP="00C471C0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165BC3">
        <w:t xml:space="preserve"> i 2/25</w:t>
      </w:r>
      <w:r>
        <w:t>).</w:t>
      </w:r>
    </w:p>
    <w:p w14:paraId="07B48A65" w14:textId="77777777" w:rsidR="009E78EC" w:rsidRDefault="009E78EC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0D8C8D07" w14:textId="77777777" w:rsidR="009337F3" w:rsidRDefault="009337F3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177B1E66" w14:textId="77777777" w:rsidR="009337F3" w:rsidRDefault="009337F3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56781F8E" w14:textId="77777777" w:rsidR="009337F3" w:rsidRDefault="009337F3" w:rsidP="009B465F">
      <w:pPr>
        <w:spacing w:after="120" w:line="276" w:lineRule="auto"/>
        <w:jc w:val="both"/>
        <w:rPr>
          <w:rStyle w:val="Istaknuto"/>
          <w:rFonts w:eastAsiaTheme="majorEastAsia"/>
          <w:i w:val="0"/>
          <w:iCs w:val="0"/>
        </w:rPr>
      </w:pPr>
    </w:p>
    <w:p w14:paraId="182B8B4A" w14:textId="4FD70A57" w:rsidR="009B465F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  <w:r w:rsidRPr="00063F83">
        <w:rPr>
          <w:rStyle w:val="Istaknuto"/>
          <w:rFonts w:eastAsiaTheme="majorEastAsia"/>
          <w:b/>
          <w:bCs/>
        </w:rPr>
        <w:t>Pravni i drugi izvori za pripremanje kandidata za provjeru znanja i sposobnosti</w:t>
      </w:r>
    </w:p>
    <w:p w14:paraId="013A2040" w14:textId="77777777" w:rsidR="00D65C0A" w:rsidRDefault="00D65C0A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</w:p>
    <w:p w14:paraId="09A32362" w14:textId="6ABD585D" w:rsidR="00053099" w:rsidRPr="00053099" w:rsidRDefault="00053099" w:rsidP="00DB2E61">
      <w:pPr>
        <w:numPr>
          <w:ilvl w:val="0"/>
          <w:numId w:val="15"/>
        </w:numPr>
        <w:spacing w:after="120" w:line="276" w:lineRule="auto"/>
        <w:contextualSpacing/>
        <w:jc w:val="both"/>
        <w:rPr>
          <w:rStyle w:val="Istaknuto"/>
          <w:rFonts w:eastAsiaTheme="majorEastAsia"/>
          <w:b/>
          <w:bCs/>
        </w:rPr>
      </w:pPr>
      <w:r w:rsidRPr="00053099">
        <w:rPr>
          <w:rFonts w:eastAsia="Calibri"/>
          <w:lang w:eastAsia="en-US"/>
        </w:rPr>
        <w:t>Zakon o lokalnoj i područnoj (regionalnoj) samoupravi ( Narodne novine br. 33/2001, 60/2001, 129/2005, 109/2007, 36/2009, 125/2008, 36/2009, 150/2011, 144/2012, 123/2017, 98/2019, 144/2020)</w:t>
      </w:r>
    </w:p>
    <w:p w14:paraId="3ADBC7AE" w14:textId="77777777" w:rsidR="00D65C0A" w:rsidRPr="00D65C0A" w:rsidRDefault="00D65C0A" w:rsidP="00D65C0A">
      <w:pPr>
        <w:numPr>
          <w:ilvl w:val="0"/>
          <w:numId w:val="15"/>
        </w:numPr>
        <w:spacing w:after="160" w:line="259" w:lineRule="auto"/>
        <w:contextualSpacing/>
        <w:rPr>
          <w:rFonts w:eastAsia="Calibri"/>
          <w:lang w:eastAsia="en-US"/>
        </w:rPr>
      </w:pPr>
      <w:r w:rsidRPr="00D65C0A">
        <w:rPr>
          <w:rFonts w:eastAsia="Calibri"/>
          <w:lang w:eastAsia="en-US"/>
        </w:rPr>
        <w:t>Zakon o institucionalnom okviru za korištenje fondova Europske unije u Republici Hrvatskoj ( Narodne novine br. 116/2021, 31/2025)</w:t>
      </w:r>
    </w:p>
    <w:p w14:paraId="2D4BE564" w14:textId="77777777" w:rsidR="00D65C0A" w:rsidRPr="00D65C0A" w:rsidRDefault="00D65C0A" w:rsidP="00D65C0A">
      <w:pPr>
        <w:numPr>
          <w:ilvl w:val="0"/>
          <w:numId w:val="15"/>
        </w:numPr>
        <w:spacing w:after="160" w:line="259" w:lineRule="auto"/>
        <w:contextualSpacing/>
        <w:rPr>
          <w:rFonts w:eastAsia="Calibri"/>
          <w:lang w:eastAsia="en-US"/>
        </w:rPr>
      </w:pPr>
      <w:r w:rsidRPr="00D65C0A">
        <w:rPr>
          <w:rFonts w:eastAsia="Calibri"/>
          <w:lang w:eastAsia="en-US"/>
        </w:rPr>
        <w:t>Priručnik za korisnike bespovratnih sredstava, SAFU</w:t>
      </w:r>
    </w:p>
    <w:p w14:paraId="53AC08BD" w14:textId="0AC87203" w:rsidR="00D65C0A" w:rsidRPr="005A7D3A" w:rsidRDefault="00D65C0A" w:rsidP="00D65C0A">
      <w:pPr>
        <w:spacing w:after="160"/>
        <w:ind w:firstLine="360"/>
        <w:rPr>
          <w:rFonts w:eastAsia="Calibri"/>
          <w:lang w:eastAsia="en-US"/>
        </w:rPr>
      </w:pPr>
      <w:r w:rsidRPr="005A7D3A">
        <w:rPr>
          <w:rFonts w:eastAsia="Calibri"/>
          <w:lang w:eastAsia="en-US"/>
        </w:rPr>
        <w:t xml:space="preserve">       </w:t>
      </w:r>
      <w:hyperlink r:id="rId5" w:history="1">
        <w:r w:rsidRPr="005A7D3A">
          <w:rPr>
            <w:rStyle w:val="Hiperveza"/>
            <w:rFonts w:eastAsia="Calibri"/>
            <w:color w:val="auto"/>
            <w:lang w:eastAsia="en-US"/>
          </w:rPr>
          <w:t>https://www.safu.hr/wp-content/uploads/2025/02/Prirucnik-za-korisnike-PKK_ITP.pdf</w:t>
        </w:r>
      </w:hyperlink>
    </w:p>
    <w:p w14:paraId="44846708" w14:textId="77777777" w:rsidR="00D65C0A" w:rsidRDefault="00D65C0A" w:rsidP="009B465F">
      <w:pPr>
        <w:spacing w:before="100" w:beforeAutospacing="1" w:after="100" w:afterAutospacing="1" w:line="276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</w:p>
    <w:p w14:paraId="3A4B354A" w14:textId="37DD6BFC" w:rsidR="009B465F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7777777" w:rsidR="009B465F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>Za svaki dio provjere kandidatima se dodjeljuje određeni broj bodova od 1 do 10.</w:t>
      </w:r>
    </w:p>
    <w:p w14:paraId="21BC553E" w14:textId="77777777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Default="009B465F" w:rsidP="009B465F">
      <w:pPr>
        <w:spacing w:line="276" w:lineRule="auto"/>
        <w:ind w:right="-142"/>
        <w:jc w:val="both"/>
        <w:rPr>
          <w:bCs/>
          <w:iCs/>
        </w:rPr>
      </w:pPr>
      <w:r>
        <w:rPr>
          <w:bCs/>
          <w:iCs/>
        </w:rPr>
        <w:t xml:space="preserve">Vrijeme održavanja prethodne provjere znanja i sposobnosti objavit će </w:t>
      </w:r>
      <w:r w:rsidRPr="00063F83">
        <w:rPr>
          <w:bCs/>
          <w:iCs/>
        </w:rPr>
        <w:t>se na</w:t>
      </w:r>
      <w:r w:rsidR="004C1FC6" w:rsidRPr="00063F83">
        <w:rPr>
          <w:bCs/>
          <w:iCs/>
        </w:rPr>
        <w:t xml:space="preserve"> mrežnoj </w:t>
      </w:r>
      <w:r w:rsidRPr="00063F83">
        <w:rPr>
          <w:bCs/>
          <w:iCs/>
        </w:rPr>
        <w:t>stranici</w:t>
      </w:r>
      <w:r>
        <w:rPr>
          <w:bCs/>
          <w:iCs/>
        </w:rPr>
        <w:t xml:space="preserve"> Dubrovačko - neretvanske županije, najmanje pet dana prije održavanja provjere.</w:t>
      </w:r>
    </w:p>
    <w:p w14:paraId="2A2CAE3D" w14:textId="77777777" w:rsidR="009B465F" w:rsidRDefault="009B465F" w:rsidP="009B465F">
      <w:pPr>
        <w:spacing w:line="276" w:lineRule="auto"/>
      </w:pPr>
    </w:p>
    <w:sectPr w:rsidR="009B4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606F"/>
    <w:multiLevelType w:val="hybridMultilevel"/>
    <w:tmpl w:val="90881BCE"/>
    <w:lvl w:ilvl="0" w:tplc="49FE02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EAC5C2F"/>
    <w:multiLevelType w:val="hybridMultilevel"/>
    <w:tmpl w:val="A6C43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633B6"/>
    <w:multiLevelType w:val="hybridMultilevel"/>
    <w:tmpl w:val="7D1ACE46"/>
    <w:lvl w:ilvl="0" w:tplc="49FE02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542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419706">
    <w:abstractNumId w:val="7"/>
  </w:num>
  <w:num w:numId="3" w16cid:durableId="186485417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78691051">
    <w:abstractNumId w:val="12"/>
  </w:num>
  <w:num w:numId="5" w16cid:durableId="209377215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63326674">
    <w:abstractNumId w:val="9"/>
  </w:num>
  <w:num w:numId="7" w16cid:durableId="1463303787">
    <w:abstractNumId w:val="3"/>
  </w:num>
  <w:num w:numId="8" w16cid:durableId="18749262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7350416">
    <w:abstractNumId w:val="2"/>
  </w:num>
  <w:num w:numId="10" w16cid:durableId="8837138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9089224">
    <w:abstractNumId w:val="1"/>
  </w:num>
  <w:num w:numId="12" w16cid:durableId="624701389">
    <w:abstractNumId w:val="8"/>
  </w:num>
  <w:num w:numId="13" w16cid:durableId="557402750">
    <w:abstractNumId w:val="4"/>
  </w:num>
  <w:num w:numId="14" w16cid:durableId="770900318">
    <w:abstractNumId w:val="0"/>
  </w:num>
  <w:num w:numId="15" w16cid:durableId="161173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F"/>
    <w:rsid w:val="00053099"/>
    <w:rsid w:val="00063F83"/>
    <w:rsid w:val="0009371A"/>
    <w:rsid w:val="00111B6B"/>
    <w:rsid w:val="00116484"/>
    <w:rsid w:val="00123FE5"/>
    <w:rsid w:val="00165BC3"/>
    <w:rsid w:val="002304E0"/>
    <w:rsid w:val="0038395B"/>
    <w:rsid w:val="003866A1"/>
    <w:rsid w:val="0039682E"/>
    <w:rsid w:val="003A4BB6"/>
    <w:rsid w:val="003A565C"/>
    <w:rsid w:val="0040705F"/>
    <w:rsid w:val="00431DBF"/>
    <w:rsid w:val="004C1FC6"/>
    <w:rsid w:val="005A7D3A"/>
    <w:rsid w:val="005B0146"/>
    <w:rsid w:val="005E0235"/>
    <w:rsid w:val="006178C5"/>
    <w:rsid w:val="00634042"/>
    <w:rsid w:val="00635EC7"/>
    <w:rsid w:val="006522C5"/>
    <w:rsid w:val="006927E1"/>
    <w:rsid w:val="007325A7"/>
    <w:rsid w:val="00733DC4"/>
    <w:rsid w:val="007B5938"/>
    <w:rsid w:val="007E11AB"/>
    <w:rsid w:val="00837AEA"/>
    <w:rsid w:val="008705CA"/>
    <w:rsid w:val="0088664E"/>
    <w:rsid w:val="008A135C"/>
    <w:rsid w:val="008F555D"/>
    <w:rsid w:val="009101C8"/>
    <w:rsid w:val="009337F3"/>
    <w:rsid w:val="009B465F"/>
    <w:rsid w:val="009E78EC"/>
    <w:rsid w:val="009F07DA"/>
    <w:rsid w:val="00A22F49"/>
    <w:rsid w:val="00AD21F9"/>
    <w:rsid w:val="00AD2F7E"/>
    <w:rsid w:val="00B218AC"/>
    <w:rsid w:val="00B227FF"/>
    <w:rsid w:val="00B52F85"/>
    <w:rsid w:val="00B65480"/>
    <w:rsid w:val="00B80B43"/>
    <w:rsid w:val="00BA3DDD"/>
    <w:rsid w:val="00C21F7E"/>
    <w:rsid w:val="00C45942"/>
    <w:rsid w:val="00C471C0"/>
    <w:rsid w:val="00C74E52"/>
    <w:rsid w:val="00CF0A83"/>
    <w:rsid w:val="00D246B1"/>
    <w:rsid w:val="00D65C0A"/>
    <w:rsid w:val="00D77CC8"/>
    <w:rsid w:val="00E33C43"/>
    <w:rsid w:val="00ED2FB8"/>
    <w:rsid w:val="00F0687F"/>
    <w:rsid w:val="00F22331"/>
    <w:rsid w:val="00F54055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5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fu.hr/wp-content/uploads/2025/02/Prirucnik-za-korisnike-PKK_IT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IVA</cp:lastModifiedBy>
  <cp:revision>9</cp:revision>
  <cp:lastPrinted>2025-10-13T12:58:00Z</cp:lastPrinted>
  <dcterms:created xsi:type="dcterms:W3CDTF">2025-10-13T12:30:00Z</dcterms:created>
  <dcterms:modified xsi:type="dcterms:W3CDTF">2025-10-14T11:44:00Z</dcterms:modified>
</cp:coreProperties>
</file>