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BAEF2" w14:textId="77777777" w:rsidR="000658C3" w:rsidRPr="008D3956" w:rsidRDefault="000658C3" w:rsidP="000658C3">
      <w:pPr>
        <w:pStyle w:val="NoSpacing"/>
        <w:pBdr>
          <w:bottom w:val="single" w:sz="6" w:space="1" w:color="auto"/>
        </w:pBdr>
        <w:shd w:val="clear" w:color="auto" w:fill="FFFFFF"/>
        <w:jc w:val="center"/>
        <w:rPr>
          <w:rFonts w:ascii="Arial" w:hAnsi="Arial" w:cs="Arial"/>
          <w:b/>
        </w:rPr>
      </w:pPr>
      <w:r w:rsidRPr="008D3956">
        <w:rPr>
          <w:rFonts w:ascii="Arial" w:hAnsi="Arial" w:cs="Arial"/>
          <w:b/>
        </w:rPr>
        <w:t xml:space="preserve">OBRAZLOŽENJE </w:t>
      </w:r>
    </w:p>
    <w:p w14:paraId="0643411A" w14:textId="77777777" w:rsidR="000658C3" w:rsidRPr="008D3956" w:rsidRDefault="000658C3" w:rsidP="000658C3">
      <w:pPr>
        <w:pStyle w:val="NoSpacing"/>
        <w:pBdr>
          <w:bottom w:val="single" w:sz="6" w:space="1" w:color="auto"/>
        </w:pBdr>
        <w:shd w:val="clear" w:color="auto" w:fill="FFFFFF"/>
        <w:jc w:val="center"/>
        <w:rPr>
          <w:rFonts w:ascii="Arial" w:hAnsi="Arial" w:cs="Arial"/>
          <w:b/>
        </w:rPr>
      </w:pPr>
    </w:p>
    <w:p w14:paraId="5D2524FC" w14:textId="625018F6" w:rsidR="000658C3" w:rsidRPr="008D3956" w:rsidRDefault="000658C3" w:rsidP="000658C3">
      <w:pPr>
        <w:pStyle w:val="NoSpacing"/>
        <w:pBdr>
          <w:bottom w:val="single" w:sz="6" w:space="1" w:color="auto"/>
        </w:pBdr>
        <w:shd w:val="clear" w:color="auto" w:fill="FFFFFF"/>
        <w:jc w:val="center"/>
        <w:rPr>
          <w:rFonts w:ascii="Arial" w:hAnsi="Arial" w:cs="Arial"/>
          <w:b/>
        </w:rPr>
      </w:pPr>
      <w:r w:rsidRPr="008D3956">
        <w:rPr>
          <w:rFonts w:ascii="Arial" w:hAnsi="Arial" w:cs="Arial"/>
          <w:b/>
        </w:rPr>
        <w:t>I</w:t>
      </w:r>
      <w:r w:rsidR="00E83C21">
        <w:rPr>
          <w:rFonts w:ascii="Arial" w:hAnsi="Arial" w:cs="Arial"/>
          <w:b/>
        </w:rPr>
        <w:t>I</w:t>
      </w:r>
      <w:r w:rsidRPr="008D3956">
        <w:rPr>
          <w:rFonts w:ascii="Arial" w:hAnsi="Arial" w:cs="Arial"/>
          <w:b/>
        </w:rPr>
        <w:t>. IZMJEN</w:t>
      </w:r>
      <w:r w:rsidR="00236ED3">
        <w:rPr>
          <w:rFonts w:ascii="Arial" w:hAnsi="Arial" w:cs="Arial"/>
          <w:b/>
        </w:rPr>
        <w:t>E</w:t>
      </w:r>
      <w:r w:rsidRPr="008D3956">
        <w:rPr>
          <w:rFonts w:ascii="Arial" w:hAnsi="Arial" w:cs="Arial"/>
          <w:b/>
        </w:rPr>
        <w:t xml:space="preserve"> I DOPUN</w:t>
      </w:r>
      <w:r w:rsidR="00236ED3">
        <w:rPr>
          <w:rFonts w:ascii="Arial" w:hAnsi="Arial" w:cs="Arial"/>
          <w:b/>
        </w:rPr>
        <w:t>E</w:t>
      </w:r>
      <w:r w:rsidRPr="008D3956">
        <w:rPr>
          <w:rFonts w:ascii="Arial" w:hAnsi="Arial" w:cs="Arial"/>
          <w:b/>
        </w:rPr>
        <w:t xml:space="preserve"> PRORAČUNA DUBROVAČKO-NERETVANSKE ŽUPANIJE ZA 202</w:t>
      </w:r>
      <w:r w:rsidR="000A4F3D" w:rsidRPr="008D3956">
        <w:rPr>
          <w:rFonts w:ascii="Arial" w:hAnsi="Arial" w:cs="Arial"/>
          <w:b/>
        </w:rPr>
        <w:t>4</w:t>
      </w:r>
      <w:r w:rsidRPr="008D3956">
        <w:rPr>
          <w:rFonts w:ascii="Arial" w:hAnsi="Arial" w:cs="Arial"/>
          <w:b/>
        </w:rPr>
        <w:t xml:space="preserve">. </w:t>
      </w:r>
      <w:r w:rsidR="00236ED3">
        <w:rPr>
          <w:rFonts w:ascii="Arial" w:hAnsi="Arial" w:cs="Arial"/>
          <w:b/>
        </w:rPr>
        <w:t>GODINU</w:t>
      </w:r>
    </w:p>
    <w:p w14:paraId="7508CDA2" w14:textId="7E82FD80" w:rsidR="000658C3" w:rsidRPr="008D3956" w:rsidRDefault="000658C3" w:rsidP="000658C3">
      <w:pPr>
        <w:pStyle w:val="NoSpacing"/>
        <w:pBdr>
          <w:bottom w:val="single" w:sz="6" w:space="1" w:color="auto"/>
        </w:pBdr>
        <w:shd w:val="clear" w:color="auto" w:fill="FFFFFF"/>
        <w:jc w:val="center"/>
        <w:rPr>
          <w:rFonts w:ascii="Arial" w:hAnsi="Arial" w:cs="Arial"/>
          <w:b/>
        </w:rPr>
      </w:pPr>
    </w:p>
    <w:p w14:paraId="6DC5A3E1" w14:textId="77777777" w:rsidR="000658C3" w:rsidRPr="008D3956" w:rsidRDefault="000658C3" w:rsidP="000658C3">
      <w:pPr>
        <w:widowControl w:val="0"/>
        <w:spacing w:line="200" w:lineRule="exact"/>
        <w:rPr>
          <w:rFonts w:ascii="Arial" w:hAnsi="Arial" w:cs="Arial"/>
        </w:rPr>
      </w:pPr>
    </w:p>
    <w:p w14:paraId="02D26966" w14:textId="77777777" w:rsidR="000658C3" w:rsidRPr="008D3956" w:rsidRDefault="000658C3" w:rsidP="000658C3">
      <w:pPr>
        <w:widowControl w:val="0"/>
        <w:spacing w:line="200" w:lineRule="exact"/>
        <w:rPr>
          <w:rFonts w:ascii="Arial" w:hAnsi="Arial" w:cs="Arial"/>
        </w:rPr>
      </w:pPr>
    </w:p>
    <w:p w14:paraId="39DD9DA0" w14:textId="77777777" w:rsidR="00ED208C" w:rsidRPr="008D3956" w:rsidRDefault="00ED208C" w:rsidP="000658C3">
      <w:pPr>
        <w:widowControl w:val="0"/>
        <w:spacing w:line="200" w:lineRule="exact"/>
        <w:rPr>
          <w:rFonts w:ascii="Arial" w:hAnsi="Arial" w:cs="Arial"/>
        </w:rPr>
      </w:pPr>
    </w:p>
    <w:p w14:paraId="05F4D267" w14:textId="6E6AAAE1" w:rsidR="000658C3" w:rsidRPr="008D3956" w:rsidRDefault="002C5A76" w:rsidP="002C5A76">
      <w:pPr>
        <w:widowControl w:val="0"/>
        <w:pBdr>
          <w:top w:val="single" w:sz="4" w:space="1" w:color="auto"/>
          <w:left w:val="single" w:sz="4" w:space="4" w:color="auto"/>
          <w:bottom w:val="single" w:sz="4" w:space="1" w:color="auto"/>
          <w:right w:val="single" w:sz="4" w:space="4" w:color="auto"/>
        </w:pBdr>
        <w:shd w:val="clear" w:color="auto" w:fill="B4C6E7"/>
        <w:spacing w:before="18"/>
        <w:rPr>
          <w:rFonts w:ascii="Arial" w:hAnsi="Arial" w:cs="Arial"/>
        </w:rPr>
      </w:pPr>
      <w:r w:rsidRPr="008D3956">
        <w:rPr>
          <w:rFonts w:ascii="Arial" w:hAnsi="Arial" w:cs="Arial"/>
          <w:b/>
          <w:bCs/>
          <w:spacing w:val="-1"/>
          <w:shd w:val="clear" w:color="auto" w:fill="BDD6EE"/>
        </w:rPr>
        <w:t xml:space="preserve">Razdjel 101 - </w:t>
      </w:r>
      <w:r w:rsidR="000658C3" w:rsidRPr="008D3956">
        <w:rPr>
          <w:rFonts w:ascii="Arial" w:hAnsi="Arial" w:cs="Arial"/>
          <w:b/>
          <w:bCs/>
          <w:spacing w:val="-1"/>
          <w:shd w:val="clear" w:color="auto" w:fill="BDD6EE"/>
        </w:rPr>
        <w:t>U</w:t>
      </w:r>
      <w:r w:rsidR="000658C3" w:rsidRPr="008D3956">
        <w:rPr>
          <w:rFonts w:ascii="Arial" w:hAnsi="Arial" w:cs="Arial"/>
          <w:b/>
          <w:bCs/>
          <w:shd w:val="clear" w:color="auto" w:fill="BDD6EE"/>
        </w:rPr>
        <w:t>P</w:t>
      </w:r>
      <w:r w:rsidR="000658C3" w:rsidRPr="008D3956">
        <w:rPr>
          <w:rFonts w:ascii="Arial" w:hAnsi="Arial" w:cs="Arial"/>
          <w:b/>
          <w:bCs/>
          <w:spacing w:val="-1"/>
          <w:shd w:val="clear" w:color="auto" w:fill="BDD6EE"/>
        </w:rPr>
        <w:t>R</w:t>
      </w:r>
      <w:r w:rsidR="000658C3" w:rsidRPr="008D3956">
        <w:rPr>
          <w:rFonts w:ascii="Arial" w:hAnsi="Arial" w:cs="Arial"/>
          <w:b/>
          <w:bCs/>
          <w:spacing w:val="1"/>
          <w:shd w:val="clear" w:color="auto" w:fill="BDD6EE"/>
        </w:rPr>
        <w:t>A</w:t>
      </w:r>
      <w:r w:rsidR="000658C3" w:rsidRPr="008D3956">
        <w:rPr>
          <w:rFonts w:ascii="Arial" w:hAnsi="Arial" w:cs="Arial"/>
          <w:b/>
          <w:bCs/>
          <w:shd w:val="clear" w:color="auto" w:fill="BDD6EE"/>
        </w:rPr>
        <w:t>VNI</w:t>
      </w:r>
      <w:r w:rsidR="000658C3" w:rsidRPr="008D3956">
        <w:rPr>
          <w:rFonts w:ascii="Arial" w:hAnsi="Arial" w:cs="Arial"/>
          <w:b/>
          <w:bCs/>
          <w:spacing w:val="-1"/>
          <w:shd w:val="clear" w:color="auto" w:fill="BDD6EE"/>
        </w:rPr>
        <w:t xml:space="preserve"> </w:t>
      </w:r>
      <w:r w:rsidR="000658C3" w:rsidRPr="008D3956">
        <w:rPr>
          <w:rFonts w:ascii="Arial" w:hAnsi="Arial" w:cs="Arial"/>
          <w:b/>
          <w:bCs/>
          <w:spacing w:val="1"/>
          <w:shd w:val="clear" w:color="auto" w:fill="BDD6EE"/>
        </w:rPr>
        <w:t>O</w:t>
      </w:r>
      <w:r w:rsidR="000658C3" w:rsidRPr="008D3956">
        <w:rPr>
          <w:rFonts w:ascii="Arial" w:hAnsi="Arial" w:cs="Arial"/>
          <w:b/>
          <w:bCs/>
          <w:spacing w:val="-2"/>
          <w:shd w:val="clear" w:color="auto" w:fill="BDD6EE"/>
        </w:rPr>
        <w:t>D</w:t>
      </w:r>
      <w:r w:rsidR="000658C3" w:rsidRPr="008D3956">
        <w:rPr>
          <w:rFonts w:ascii="Arial" w:hAnsi="Arial" w:cs="Arial"/>
          <w:b/>
          <w:bCs/>
          <w:shd w:val="clear" w:color="auto" w:fill="BDD6EE"/>
        </w:rPr>
        <w:t>JEL ZA</w:t>
      </w:r>
      <w:r w:rsidR="000658C3" w:rsidRPr="008D3956">
        <w:rPr>
          <w:rFonts w:ascii="Arial" w:hAnsi="Arial" w:cs="Arial"/>
          <w:b/>
          <w:bCs/>
          <w:spacing w:val="2"/>
          <w:shd w:val="clear" w:color="auto" w:fill="BDD6EE"/>
        </w:rPr>
        <w:t xml:space="preserve"> </w:t>
      </w:r>
      <w:r w:rsidR="000658C3" w:rsidRPr="008D3956">
        <w:rPr>
          <w:rFonts w:ascii="Arial" w:hAnsi="Arial" w:cs="Arial"/>
          <w:b/>
          <w:bCs/>
          <w:shd w:val="clear" w:color="auto" w:fill="BDD6EE"/>
        </w:rPr>
        <w:t>P</w:t>
      </w:r>
      <w:r w:rsidR="000658C3" w:rsidRPr="008D3956">
        <w:rPr>
          <w:rFonts w:ascii="Arial" w:hAnsi="Arial" w:cs="Arial"/>
          <w:b/>
          <w:bCs/>
          <w:spacing w:val="1"/>
          <w:shd w:val="clear" w:color="auto" w:fill="BDD6EE"/>
        </w:rPr>
        <w:t>O</w:t>
      </w:r>
      <w:r w:rsidR="000658C3" w:rsidRPr="008D3956">
        <w:rPr>
          <w:rFonts w:ascii="Arial" w:hAnsi="Arial" w:cs="Arial"/>
          <w:b/>
          <w:bCs/>
          <w:spacing w:val="-1"/>
          <w:shd w:val="clear" w:color="auto" w:fill="BDD6EE"/>
        </w:rPr>
        <w:t>SL</w:t>
      </w:r>
      <w:r w:rsidR="000658C3" w:rsidRPr="008D3956">
        <w:rPr>
          <w:rFonts w:ascii="Arial" w:hAnsi="Arial" w:cs="Arial"/>
          <w:b/>
          <w:bCs/>
          <w:spacing w:val="1"/>
          <w:shd w:val="clear" w:color="auto" w:fill="BDD6EE"/>
        </w:rPr>
        <w:t>O</w:t>
      </w:r>
      <w:r w:rsidR="000658C3" w:rsidRPr="008D3956">
        <w:rPr>
          <w:rFonts w:ascii="Arial" w:hAnsi="Arial" w:cs="Arial"/>
          <w:b/>
          <w:bCs/>
          <w:shd w:val="clear" w:color="auto" w:fill="BDD6EE"/>
        </w:rPr>
        <w:t>VE</w:t>
      </w:r>
      <w:r w:rsidR="000658C3" w:rsidRPr="008D3956">
        <w:rPr>
          <w:rFonts w:ascii="Arial" w:hAnsi="Arial" w:cs="Arial"/>
          <w:b/>
          <w:bCs/>
          <w:spacing w:val="-1"/>
          <w:shd w:val="clear" w:color="auto" w:fill="BDD6EE"/>
        </w:rPr>
        <w:t xml:space="preserve"> </w:t>
      </w:r>
      <w:r w:rsidR="000658C3" w:rsidRPr="008D3956">
        <w:rPr>
          <w:rFonts w:ascii="Arial" w:hAnsi="Arial" w:cs="Arial"/>
          <w:b/>
          <w:bCs/>
          <w:shd w:val="clear" w:color="auto" w:fill="BDD6EE"/>
        </w:rPr>
        <w:t>Ž</w:t>
      </w:r>
      <w:r w:rsidR="000658C3" w:rsidRPr="008D3956">
        <w:rPr>
          <w:rFonts w:ascii="Arial" w:hAnsi="Arial" w:cs="Arial"/>
          <w:b/>
          <w:bCs/>
          <w:spacing w:val="-1"/>
          <w:shd w:val="clear" w:color="auto" w:fill="BDD6EE"/>
        </w:rPr>
        <w:t>U</w:t>
      </w:r>
      <w:r w:rsidR="000658C3" w:rsidRPr="008D3956">
        <w:rPr>
          <w:rFonts w:ascii="Arial" w:hAnsi="Arial" w:cs="Arial"/>
          <w:b/>
          <w:bCs/>
          <w:shd w:val="clear" w:color="auto" w:fill="BDD6EE"/>
        </w:rPr>
        <w:t>P</w:t>
      </w:r>
      <w:r w:rsidR="000658C3" w:rsidRPr="008D3956">
        <w:rPr>
          <w:rFonts w:ascii="Arial" w:hAnsi="Arial" w:cs="Arial"/>
          <w:b/>
          <w:bCs/>
          <w:spacing w:val="1"/>
          <w:shd w:val="clear" w:color="auto" w:fill="BDD6EE"/>
        </w:rPr>
        <w:t>A</w:t>
      </w:r>
      <w:r w:rsidR="000658C3" w:rsidRPr="008D3956">
        <w:rPr>
          <w:rFonts w:ascii="Arial" w:hAnsi="Arial" w:cs="Arial"/>
          <w:b/>
          <w:bCs/>
          <w:spacing w:val="-2"/>
          <w:shd w:val="clear" w:color="auto" w:fill="BDD6EE"/>
        </w:rPr>
        <w:t>N</w:t>
      </w:r>
      <w:r w:rsidR="000658C3" w:rsidRPr="008D3956">
        <w:rPr>
          <w:rFonts w:ascii="Arial" w:hAnsi="Arial" w:cs="Arial"/>
          <w:b/>
          <w:bCs/>
          <w:shd w:val="clear" w:color="auto" w:fill="BDD6EE"/>
        </w:rPr>
        <w:t>A I</w:t>
      </w:r>
      <w:r w:rsidR="000658C3" w:rsidRPr="008D3956">
        <w:rPr>
          <w:rFonts w:ascii="Arial" w:hAnsi="Arial" w:cs="Arial"/>
          <w:b/>
          <w:bCs/>
          <w:spacing w:val="2"/>
          <w:shd w:val="clear" w:color="auto" w:fill="BDD6EE"/>
        </w:rPr>
        <w:t xml:space="preserve"> </w:t>
      </w:r>
      <w:r w:rsidR="000658C3" w:rsidRPr="008D3956">
        <w:rPr>
          <w:rFonts w:ascii="Arial" w:hAnsi="Arial" w:cs="Arial"/>
          <w:b/>
          <w:bCs/>
        </w:rPr>
        <w:t>Ž</w:t>
      </w:r>
      <w:r w:rsidR="000658C3" w:rsidRPr="008D3956">
        <w:rPr>
          <w:rFonts w:ascii="Arial" w:hAnsi="Arial" w:cs="Arial"/>
          <w:b/>
          <w:bCs/>
          <w:spacing w:val="-1"/>
        </w:rPr>
        <w:t>U</w:t>
      </w:r>
      <w:r w:rsidR="000658C3" w:rsidRPr="008D3956">
        <w:rPr>
          <w:rFonts w:ascii="Arial" w:hAnsi="Arial" w:cs="Arial"/>
          <w:b/>
          <w:bCs/>
        </w:rPr>
        <w:t>P</w:t>
      </w:r>
      <w:r w:rsidR="000658C3" w:rsidRPr="008D3956">
        <w:rPr>
          <w:rFonts w:ascii="Arial" w:hAnsi="Arial" w:cs="Arial"/>
          <w:b/>
          <w:bCs/>
          <w:spacing w:val="1"/>
        </w:rPr>
        <w:t>A</w:t>
      </w:r>
      <w:r w:rsidR="000658C3" w:rsidRPr="008D3956">
        <w:rPr>
          <w:rFonts w:ascii="Arial" w:hAnsi="Arial" w:cs="Arial"/>
          <w:b/>
          <w:bCs/>
        </w:rPr>
        <w:t>N</w:t>
      </w:r>
      <w:r w:rsidR="000658C3" w:rsidRPr="008D3956">
        <w:rPr>
          <w:rFonts w:ascii="Arial" w:hAnsi="Arial" w:cs="Arial"/>
          <w:b/>
          <w:bCs/>
          <w:spacing w:val="1"/>
        </w:rPr>
        <w:t>I</w:t>
      </w:r>
      <w:r w:rsidR="000658C3" w:rsidRPr="008D3956">
        <w:rPr>
          <w:rFonts w:ascii="Arial" w:hAnsi="Arial" w:cs="Arial"/>
          <w:b/>
          <w:bCs/>
        </w:rPr>
        <w:t>J</w:t>
      </w:r>
      <w:r w:rsidR="000658C3" w:rsidRPr="008D3956">
        <w:rPr>
          <w:rFonts w:ascii="Arial" w:hAnsi="Arial" w:cs="Arial"/>
          <w:b/>
          <w:bCs/>
          <w:spacing w:val="-1"/>
        </w:rPr>
        <w:t>S</w:t>
      </w:r>
      <w:r w:rsidR="000658C3" w:rsidRPr="008D3956">
        <w:rPr>
          <w:rFonts w:ascii="Arial" w:hAnsi="Arial" w:cs="Arial"/>
          <w:b/>
          <w:bCs/>
          <w:spacing w:val="1"/>
        </w:rPr>
        <w:t>K</w:t>
      </w:r>
      <w:r w:rsidR="000658C3" w:rsidRPr="008D3956">
        <w:rPr>
          <w:rFonts w:ascii="Arial" w:hAnsi="Arial" w:cs="Arial"/>
          <w:b/>
          <w:bCs/>
        </w:rPr>
        <w:t>E</w:t>
      </w:r>
      <w:r w:rsidR="000658C3" w:rsidRPr="008D3956">
        <w:rPr>
          <w:rFonts w:ascii="Arial" w:hAnsi="Arial" w:cs="Arial"/>
          <w:b/>
          <w:bCs/>
          <w:spacing w:val="-1"/>
        </w:rPr>
        <w:t xml:space="preserve"> S</w:t>
      </w:r>
      <w:r w:rsidR="000658C3" w:rsidRPr="008D3956">
        <w:rPr>
          <w:rFonts w:ascii="Arial" w:hAnsi="Arial" w:cs="Arial"/>
          <w:b/>
          <w:bCs/>
          <w:spacing w:val="1"/>
        </w:rPr>
        <w:t>K</w:t>
      </w:r>
      <w:r w:rsidR="000658C3" w:rsidRPr="008D3956">
        <w:rPr>
          <w:rFonts w:ascii="Arial" w:hAnsi="Arial" w:cs="Arial"/>
          <w:b/>
          <w:bCs/>
          <w:spacing w:val="-1"/>
        </w:rPr>
        <w:t>U</w:t>
      </w:r>
      <w:r w:rsidR="000658C3" w:rsidRPr="008D3956">
        <w:rPr>
          <w:rFonts w:ascii="Arial" w:hAnsi="Arial" w:cs="Arial"/>
          <w:b/>
          <w:bCs/>
        </w:rPr>
        <w:t>P</w:t>
      </w:r>
      <w:r w:rsidR="000658C3" w:rsidRPr="008D3956">
        <w:rPr>
          <w:rFonts w:ascii="Arial" w:hAnsi="Arial" w:cs="Arial"/>
          <w:b/>
          <w:bCs/>
          <w:spacing w:val="-1"/>
        </w:rPr>
        <w:t>Š</w:t>
      </w:r>
      <w:r w:rsidR="000658C3" w:rsidRPr="008D3956">
        <w:rPr>
          <w:rFonts w:ascii="Arial" w:hAnsi="Arial" w:cs="Arial"/>
          <w:b/>
          <w:bCs/>
          <w:spacing w:val="1"/>
        </w:rPr>
        <w:t>T</w:t>
      </w:r>
      <w:r w:rsidR="000658C3" w:rsidRPr="008D3956">
        <w:rPr>
          <w:rFonts w:ascii="Arial" w:hAnsi="Arial" w:cs="Arial"/>
          <w:b/>
          <w:bCs/>
          <w:spacing w:val="-2"/>
        </w:rPr>
        <w:t>I</w:t>
      </w:r>
      <w:r w:rsidR="000658C3" w:rsidRPr="008D3956">
        <w:rPr>
          <w:rFonts w:ascii="Arial" w:hAnsi="Arial" w:cs="Arial"/>
          <w:b/>
          <w:bCs/>
        </w:rPr>
        <w:t xml:space="preserve">NE </w:t>
      </w:r>
    </w:p>
    <w:p w14:paraId="74CA244A" w14:textId="77777777" w:rsidR="002224C6" w:rsidRPr="008D3956" w:rsidRDefault="002224C6" w:rsidP="000658C3">
      <w:pPr>
        <w:widowControl w:val="0"/>
        <w:shd w:val="clear" w:color="auto" w:fill="FFFFFF"/>
        <w:spacing w:before="15" w:line="280" w:lineRule="exact"/>
        <w:rPr>
          <w:rFonts w:ascii="Arial" w:hAnsi="Arial" w:cs="Arial"/>
          <w:b/>
          <w:bCs/>
        </w:rPr>
      </w:pPr>
    </w:p>
    <w:p w14:paraId="2C4023A6" w14:textId="502ABB36" w:rsidR="00666531" w:rsidRDefault="00666531" w:rsidP="000658C3">
      <w:pPr>
        <w:shd w:val="clear" w:color="auto" w:fill="FFFFFF"/>
        <w:jc w:val="both"/>
        <w:rPr>
          <w:rFonts w:ascii="Arial" w:hAnsi="Arial" w:cs="Arial"/>
          <w:b/>
          <w:sz w:val="22"/>
          <w:szCs w:val="22"/>
        </w:rPr>
      </w:pPr>
      <w:r w:rsidRPr="008D3956">
        <w:rPr>
          <w:rFonts w:ascii="Arial" w:hAnsi="Arial" w:cs="Arial"/>
          <w:b/>
          <w:sz w:val="22"/>
          <w:szCs w:val="22"/>
          <w:u w:val="single"/>
        </w:rPr>
        <w:t>GLAVA 1010</w:t>
      </w:r>
      <w:r>
        <w:rPr>
          <w:rFonts w:ascii="Arial" w:hAnsi="Arial" w:cs="Arial"/>
          <w:b/>
          <w:sz w:val="22"/>
          <w:szCs w:val="22"/>
          <w:u w:val="single"/>
        </w:rPr>
        <w:t>1</w:t>
      </w:r>
      <w:r w:rsidRPr="008D3956">
        <w:rPr>
          <w:rFonts w:ascii="Arial" w:hAnsi="Arial" w:cs="Arial"/>
          <w:b/>
          <w:sz w:val="22"/>
          <w:szCs w:val="22"/>
          <w:u w:val="single"/>
        </w:rPr>
        <w:t xml:space="preserve"> </w:t>
      </w:r>
      <w:r>
        <w:rPr>
          <w:rFonts w:ascii="Arial" w:hAnsi="Arial" w:cs="Arial"/>
          <w:b/>
          <w:sz w:val="22"/>
          <w:szCs w:val="22"/>
          <w:u w:val="single"/>
        </w:rPr>
        <w:t>PREDSTAVNIČKO I IZVRŠNO TIJELO</w:t>
      </w:r>
    </w:p>
    <w:p w14:paraId="457BB6CA" w14:textId="77777777" w:rsidR="00666531" w:rsidRDefault="00666531" w:rsidP="000658C3">
      <w:pPr>
        <w:shd w:val="clear" w:color="auto" w:fill="FFFFFF"/>
        <w:jc w:val="both"/>
        <w:rPr>
          <w:rFonts w:ascii="Arial" w:hAnsi="Arial" w:cs="Arial"/>
          <w:b/>
          <w:sz w:val="22"/>
          <w:szCs w:val="22"/>
        </w:rPr>
      </w:pPr>
    </w:p>
    <w:p w14:paraId="0ED408EC" w14:textId="5E180D5A" w:rsidR="00666531" w:rsidRPr="008D3956" w:rsidRDefault="00666531" w:rsidP="00666531">
      <w:pPr>
        <w:shd w:val="clear" w:color="auto" w:fill="FFFFFF"/>
        <w:jc w:val="both"/>
        <w:rPr>
          <w:rFonts w:ascii="Arial" w:eastAsia="Calibri" w:hAnsi="Arial" w:cs="Arial"/>
          <w:b/>
          <w:bCs/>
          <w:sz w:val="22"/>
          <w:szCs w:val="22"/>
          <w:u w:val="single"/>
        </w:rPr>
      </w:pPr>
      <w:r>
        <w:rPr>
          <w:rFonts w:ascii="Arial" w:eastAsia="Calibri" w:hAnsi="Arial" w:cs="Arial"/>
          <w:b/>
          <w:bCs/>
          <w:sz w:val="22"/>
          <w:szCs w:val="22"/>
          <w:u w:val="single"/>
        </w:rPr>
        <w:t xml:space="preserve">PROGRAM </w:t>
      </w:r>
      <w:r w:rsidRPr="008D3956">
        <w:rPr>
          <w:rFonts w:ascii="Arial" w:eastAsia="Calibri" w:hAnsi="Arial" w:cs="Arial"/>
          <w:b/>
          <w:bCs/>
          <w:sz w:val="22"/>
          <w:szCs w:val="22"/>
          <w:u w:val="single"/>
        </w:rPr>
        <w:t>1</w:t>
      </w:r>
      <w:r>
        <w:rPr>
          <w:rFonts w:ascii="Arial" w:eastAsia="Calibri" w:hAnsi="Arial" w:cs="Arial"/>
          <w:b/>
          <w:bCs/>
          <w:sz w:val="22"/>
          <w:szCs w:val="22"/>
          <w:u w:val="single"/>
        </w:rPr>
        <w:t>102</w:t>
      </w:r>
      <w:r w:rsidRPr="008D3956">
        <w:rPr>
          <w:rFonts w:ascii="Arial" w:eastAsia="Calibri" w:hAnsi="Arial" w:cs="Arial"/>
          <w:b/>
          <w:bCs/>
          <w:sz w:val="22"/>
          <w:szCs w:val="22"/>
          <w:u w:val="single"/>
        </w:rPr>
        <w:t xml:space="preserve"> </w:t>
      </w:r>
      <w:r>
        <w:rPr>
          <w:rFonts w:ascii="Arial" w:eastAsia="Calibri" w:hAnsi="Arial" w:cs="Arial"/>
          <w:b/>
          <w:bCs/>
          <w:sz w:val="22"/>
          <w:szCs w:val="22"/>
          <w:u w:val="single"/>
        </w:rPr>
        <w:t>Međunarodna i regionalna suradnja i suradnja s lokalnom samoupravom</w:t>
      </w:r>
    </w:p>
    <w:p w14:paraId="0B10A575" w14:textId="77777777" w:rsidR="00666531" w:rsidRDefault="00666531" w:rsidP="000658C3">
      <w:pPr>
        <w:shd w:val="clear" w:color="auto" w:fill="FFFFFF"/>
        <w:jc w:val="both"/>
        <w:rPr>
          <w:rFonts w:ascii="Arial" w:hAnsi="Arial" w:cs="Arial"/>
          <w:b/>
          <w:sz w:val="22"/>
          <w:szCs w:val="22"/>
        </w:rPr>
      </w:pPr>
    </w:p>
    <w:p w14:paraId="02AE9DE3" w14:textId="76C07AB8" w:rsidR="00666531" w:rsidRPr="008D3956" w:rsidRDefault="00666531" w:rsidP="00666531">
      <w:pPr>
        <w:shd w:val="clear" w:color="auto" w:fill="DBE5F1"/>
        <w:jc w:val="both"/>
        <w:rPr>
          <w:rFonts w:ascii="Arial" w:eastAsia="Calibri" w:hAnsi="Arial" w:cs="Arial"/>
          <w:b/>
          <w:bCs/>
        </w:rPr>
      </w:pPr>
      <w:r w:rsidRPr="008D3956">
        <w:rPr>
          <w:rFonts w:ascii="Arial" w:eastAsia="Calibri" w:hAnsi="Arial" w:cs="Arial"/>
          <w:b/>
          <w:bCs/>
          <w:lang w:eastAsia="en-US"/>
          <w14:ligatures w14:val="standardContextual"/>
        </w:rPr>
        <w:t>Aktivnost A1</w:t>
      </w:r>
      <w:r>
        <w:rPr>
          <w:rFonts w:ascii="Arial" w:eastAsia="Calibri" w:hAnsi="Arial" w:cs="Arial"/>
          <w:b/>
          <w:bCs/>
          <w:lang w:eastAsia="en-US"/>
          <w14:ligatures w14:val="standardContextual"/>
        </w:rPr>
        <w:t>10201</w:t>
      </w:r>
      <w:r w:rsidRPr="008D3956">
        <w:rPr>
          <w:rFonts w:ascii="Arial" w:eastAsia="Calibri" w:hAnsi="Arial" w:cs="Arial"/>
          <w:b/>
          <w:bCs/>
          <w:lang w:eastAsia="en-US"/>
          <w14:ligatures w14:val="standardContextual"/>
        </w:rPr>
        <w:t xml:space="preserve">  –</w:t>
      </w:r>
      <w:r>
        <w:rPr>
          <w:rFonts w:ascii="Arial" w:eastAsia="Calibri" w:hAnsi="Arial" w:cs="Arial"/>
          <w:b/>
          <w:bCs/>
          <w:lang w:eastAsia="en-US"/>
          <w14:ligatures w14:val="standardContextual"/>
        </w:rPr>
        <w:t xml:space="preserve"> Međunarodna suradnja</w:t>
      </w:r>
      <w:r w:rsidRPr="008D3956">
        <w:rPr>
          <w:rFonts w:ascii="Arial" w:eastAsia="Calibri" w:hAnsi="Arial" w:cs="Arial"/>
          <w:b/>
          <w:bCs/>
          <w:lang w:eastAsia="en-US"/>
          <w14:ligatures w14:val="standardContextual"/>
        </w:rPr>
        <w:t xml:space="preserve"> </w:t>
      </w:r>
      <w:r w:rsidRPr="008D3956">
        <w:rPr>
          <w:rFonts w:ascii="Arial" w:eastAsia="Calibri" w:hAnsi="Arial" w:cs="Arial"/>
          <w:b/>
          <w:bCs/>
          <w:lang w:eastAsia="en-US"/>
          <w14:ligatures w14:val="standardContextual"/>
        </w:rPr>
        <w:tab/>
        <w:t xml:space="preserve"> + 3.</w:t>
      </w:r>
      <w:r>
        <w:rPr>
          <w:rFonts w:ascii="Arial" w:eastAsia="Calibri" w:hAnsi="Arial" w:cs="Arial"/>
          <w:b/>
          <w:bCs/>
          <w:lang w:eastAsia="en-US"/>
          <w14:ligatures w14:val="standardContextual"/>
        </w:rPr>
        <w:t>988</w:t>
      </w:r>
      <w:r w:rsidRPr="008D3956">
        <w:rPr>
          <w:rFonts w:ascii="Arial" w:eastAsia="Calibri" w:hAnsi="Arial" w:cs="Arial"/>
          <w:b/>
          <w:bCs/>
          <w:lang w:eastAsia="en-US"/>
          <w14:ligatures w14:val="standardContextual"/>
        </w:rPr>
        <w:t>,00 EUR</w:t>
      </w:r>
    </w:p>
    <w:p w14:paraId="7FEBD039" w14:textId="77777777" w:rsidR="00666531" w:rsidRPr="008D3956" w:rsidRDefault="00666531" w:rsidP="00666531">
      <w:pPr>
        <w:shd w:val="clear" w:color="auto" w:fill="FFFFFF"/>
        <w:jc w:val="both"/>
        <w:rPr>
          <w:rFonts w:ascii="Arial" w:eastAsia="Calibri" w:hAnsi="Arial" w:cs="Arial"/>
          <w:b/>
          <w:bCs/>
          <w:u w:val="single"/>
          <w:lang w:eastAsia="en-US"/>
          <w14:ligatures w14:val="standardContextual"/>
        </w:rPr>
      </w:pPr>
    </w:p>
    <w:p w14:paraId="14A014D8" w14:textId="4EF7649B" w:rsidR="00666531" w:rsidRPr="008D3956" w:rsidRDefault="00666531" w:rsidP="00666531">
      <w:pPr>
        <w:shd w:val="clear" w:color="auto" w:fill="FFFFFF"/>
        <w:jc w:val="both"/>
        <w:rPr>
          <w:rFonts w:ascii="Arial" w:eastAsia="Calibri" w:hAnsi="Arial" w:cs="Arial"/>
          <w:lang w:eastAsia="en-US"/>
          <w14:ligatures w14:val="standardContextual"/>
        </w:rPr>
      </w:pPr>
      <w:r>
        <w:rPr>
          <w:rFonts w:ascii="Arial" w:eastAsia="Calibri" w:hAnsi="Arial" w:cs="Arial"/>
          <w:lang w:eastAsia="en-US"/>
          <w14:ligatures w14:val="standardContextual"/>
        </w:rPr>
        <w:t>U aktivnost prenamijenjen iznos od 3.988,00 EUR sa stavke aktivnosti Regionalne suradnje i suradnje s lokalnom samoupravom u skladu sa potrebama. Ukupan iznos programa nije promijenjen.</w:t>
      </w:r>
    </w:p>
    <w:p w14:paraId="04B0436E" w14:textId="77777777" w:rsidR="00666531" w:rsidRDefault="00666531" w:rsidP="000658C3">
      <w:pPr>
        <w:shd w:val="clear" w:color="auto" w:fill="FFFFFF"/>
        <w:jc w:val="both"/>
        <w:rPr>
          <w:rFonts w:ascii="Arial" w:hAnsi="Arial" w:cs="Arial"/>
          <w:b/>
          <w:sz w:val="22"/>
          <w:szCs w:val="22"/>
        </w:rPr>
      </w:pPr>
    </w:p>
    <w:p w14:paraId="6E5F3A29" w14:textId="77777777" w:rsidR="00666531" w:rsidRDefault="00666531" w:rsidP="00666531">
      <w:pPr>
        <w:shd w:val="clear" w:color="auto" w:fill="DBE5F1"/>
        <w:jc w:val="both"/>
        <w:rPr>
          <w:rFonts w:ascii="Arial" w:eastAsia="Calibri" w:hAnsi="Arial" w:cs="Arial"/>
          <w:b/>
          <w:bCs/>
          <w:lang w:eastAsia="en-US"/>
          <w14:ligatures w14:val="standardContextual"/>
        </w:rPr>
      </w:pPr>
      <w:r w:rsidRPr="008D3956">
        <w:rPr>
          <w:rFonts w:ascii="Arial" w:eastAsia="Calibri" w:hAnsi="Arial" w:cs="Arial"/>
          <w:b/>
          <w:bCs/>
          <w:lang w:eastAsia="en-US"/>
          <w14:ligatures w14:val="standardContextual"/>
        </w:rPr>
        <w:t>Aktivnost A1</w:t>
      </w:r>
      <w:r>
        <w:rPr>
          <w:rFonts w:ascii="Arial" w:eastAsia="Calibri" w:hAnsi="Arial" w:cs="Arial"/>
          <w:b/>
          <w:bCs/>
          <w:lang w:eastAsia="en-US"/>
          <w14:ligatures w14:val="standardContextual"/>
        </w:rPr>
        <w:t>10202</w:t>
      </w:r>
      <w:r w:rsidRPr="008D3956">
        <w:rPr>
          <w:rFonts w:ascii="Arial" w:eastAsia="Calibri" w:hAnsi="Arial" w:cs="Arial"/>
          <w:b/>
          <w:bCs/>
          <w:lang w:eastAsia="en-US"/>
          <w14:ligatures w14:val="standardContextual"/>
        </w:rPr>
        <w:t xml:space="preserve">  –</w:t>
      </w:r>
      <w:r>
        <w:rPr>
          <w:rFonts w:ascii="Arial" w:eastAsia="Calibri" w:hAnsi="Arial" w:cs="Arial"/>
          <w:b/>
          <w:bCs/>
          <w:lang w:eastAsia="en-US"/>
          <w14:ligatures w14:val="standardContextual"/>
        </w:rPr>
        <w:t xml:space="preserve"> </w:t>
      </w:r>
      <w:r>
        <w:rPr>
          <w:rFonts w:ascii="Arial" w:eastAsia="Calibri" w:hAnsi="Arial" w:cs="Arial"/>
          <w:lang w:eastAsia="en-US"/>
          <w14:ligatures w14:val="standardContextual"/>
        </w:rPr>
        <w:t>Regionalna suradnja i suradnja s lokalnom samoupravom</w:t>
      </w:r>
      <w:r>
        <w:rPr>
          <w:rFonts w:ascii="Arial" w:eastAsia="Calibri" w:hAnsi="Arial" w:cs="Arial"/>
          <w:b/>
          <w:bCs/>
          <w:lang w:eastAsia="en-US"/>
          <w14:ligatures w14:val="standardContextual"/>
        </w:rPr>
        <w:t xml:space="preserve"> </w:t>
      </w:r>
    </w:p>
    <w:p w14:paraId="44A74ECF" w14:textId="026DE014" w:rsidR="00666531" w:rsidRPr="008D3956" w:rsidRDefault="00666531" w:rsidP="00666531">
      <w:pPr>
        <w:shd w:val="clear" w:color="auto" w:fill="DBE5F1"/>
        <w:ind w:left="2124"/>
        <w:jc w:val="both"/>
        <w:rPr>
          <w:rFonts w:ascii="Arial" w:eastAsia="Calibri" w:hAnsi="Arial" w:cs="Arial"/>
          <w:b/>
          <w:bCs/>
        </w:rPr>
      </w:pPr>
      <w:r>
        <w:rPr>
          <w:rFonts w:ascii="Arial" w:eastAsia="Calibri" w:hAnsi="Arial" w:cs="Arial"/>
          <w:b/>
          <w:bCs/>
          <w:lang w:eastAsia="en-US"/>
          <w14:ligatures w14:val="standardContextual"/>
        </w:rPr>
        <w:t xml:space="preserve">   -</w:t>
      </w:r>
      <w:r w:rsidRPr="008D3956">
        <w:rPr>
          <w:rFonts w:ascii="Arial" w:eastAsia="Calibri" w:hAnsi="Arial" w:cs="Arial"/>
          <w:b/>
          <w:bCs/>
          <w:lang w:eastAsia="en-US"/>
          <w14:ligatures w14:val="standardContextual"/>
        </w:rPr>
        <w:t xml:space="preserve"> 3.</w:t>
      </w:r>
      <w:r>
        <w:rPr>
          <w:rFonts w:ascii="Arial" w:eastAsia="Calibri" w:hAnsi="Arial" w:cs="Arial"/>
          <w:b/>
          <w:bCs/>
          <w:lang w:eastAsia="en-US"/>
          <w14:ligatures w14:val="standardContextual"/>
        </w:rPr>
        <w:t>988</w:t>
      </w:r>
      <w:r w:rsidRPr="008D3956">
        <w:rPr>
          <w:rFonts w:ascii="Arial" w:eastAsia="Calibri" w:hAnsi="Arial" w:cs="Arial"/>
          <w:b/>
          <w:bCs/>
          <w:lang w:eastAsia="en-US"/>
          <w14:ligatures w14:val="standardContextual"/>
        </w:rPr>
        <w:t>,00 EUR</w:t>
      </w:r>
    </w:p>
    <w:p w14:paraId="61872228" w14:textId="77777777" w:rsidR="00666531" w:rsidRPr="008D3956" w:rsidRDefault="00666531" w:rsidP="00666531">
      <w:pPr>
        <w:shd w:val="clear" w:color="auto" w:fill="FFFFFF"/>
        <w:jc w:val="both"/>
        <w:rPr>
          <w:rFonts w:ascii="Arial" w:eastAsia="Calibri" w:hAnsi="Arial" w:cs="Arial"/>
          <w:b/>
          <w:bCs/>
          <w:u w:val="single"/>
          <w:lang w:eastAsia="en-US"/>
          <w14:ligatures w14:val="standardContextual"/>
        </w:rPr>
      </w:pPr>
    </w:p>
    <w:p w14:paraId="183632E6" w14:textId="01965F73" w:rsidR="00666531" w:rsidRPr="008D3956" w:rsidRDefault="00666531" w:rsidP="00666531">
      <w:pPr>
        <w:shd w:val="clear" w:color="auto" w:fill="FFFFFF"/>
        <w:jc w:val="both"/>
        <w:rPr>
          <w:rFonts w:ascii="Arial" w:eastAsia="Calibri" w:hAnsi="Arial" w:cs="Arial"/>
          <w:lang w:eastAsia="en-US"/>
          <w14:ligatures w14:val="standardContextual"/>
        </w:rPr>
      </w:pPr>
      <w:r>
        <w:rPr>
          <w:rFonts w:ascii="Arial" w:eastAsia="Calibri" w:hAnsi="Arial" w:cs="Arial"/>
          <w:lang w:eastAsia="en-US"/>
          <w14:ligatures w14:val="standardContextual"/>
        </w:rPr>
        <w:t>Iz aktivnosti prenamijenjen iznos od 3.988,00 EUR na stavku aktivnosti Međunarodna suradnja u skladu sa potrebama. Ukupan iznos programa nije promijenjen.</w:t>
      </w:r>
    </w:p>
    <w:p w14:paraId="18D7ADFB" w14:textId="77777777" w:rsidR="00666531" w:rsidRDefault="00666531" w:rsidP="000658C3">
      <w:pPr>
        <w:shd w:val="clear" w:color="auto" w:fill="FFFFFF"/>
        <w:jc w:val="both"/>
        <w:rPr>
          <w:rFonts w:ascii="Arial" w:hAnsi="Arial" w:cs="Arial"/>
          <w:b/>
          <w:sz w:val="22"/>
          <w:szCs w:val="22"/>
        </w:rPr>
      </w:pPr>
    </w:p>
    <w:p w14:paraId="06F4FBA5" w14:textId="00D87DB9" w:rsidR="002224C6" w:rsidRPr="008D3956" w:rsidRDefault="002224C6" w:rsidP="000658C3">
      <w:pPr>
        <w:shd w:val="clear" w:color="auto" w:fill="FFFFFF"/>
        <w:jc w:val="both"/>
        <w:rPr>
          <w:rFonts w:ascii="Arial" w:hAnsi="Arial" w:cs="Arial"/>
          <w:b/>
          <w:sz w:val="22"/>
          <w:szCs w:val="22"/>
        </w:rPr>
      </w:pPr>
    </w:p>
    <w:p w14:paraId="4E06C4E2" w14:textId="0D79711C" w:rsidR="002224C6" w:rsidRPr="008D3956" w:rsidRDefault="002224C6" w:rsidP="000658C3">
      <w:pPr>
        <w:shd w:val="clear" w:color="auto" w:fill="FFFFFF"/>
        <w:jc w:val="both"/>
        <w:rPr>
          <w:rFonts w:ascii="Arial" w:hAnsi="Arial" w:cs="Arial"/>
          <w:b/>
          <w:sz w:val="22"/>
          <w:szCs w:val="22"/>
          <w:u w:val="single"/>
        </w:rPr>
      </w:pPr>
      <w:r w:rsidRPr="008D3956">
        <w:rPr>
          <w:rFonts w:ascii="Arial" w:hAnsi="Arial" w:cs="Arial"/>
          <w:b/>
          <w:sz w:val="22"/>
          <w:szCs w:val="22"/>
          <w:u w:val="single"/>
        </w:rPr>
        <w:t>GLAVA 10102 UPRAVNI ODJEL ZA POSLOVE ŽUPANA I ŽUPANIJSKE SKUPŠTINE</w:t>
      </w:r>
    </w:p>
    <w:p w14:paraId="137D8EDA" w14:textId="27994291" w:rsidR="003E7DD7" w:rsidRPr="008D3956" w:rsidRDefault="003E7DD7" w:rsidP="003E7DD7">
      <w:pPr>
        <w:shd w:val="clear" w:color="auto" w:fill="FFFFFF"/>
        <w:jc w:val="both"/>
        <w:rPr>
          <w:rFonts w:ascii="Arial" w:eastAsia="Calibri" w:hAnsi="Arial" w:cs="Arial"/>
        </w:rPr>
      </w:pPr>
    </w:p>
    <w:p w14:paraId="47CFEDC6" w14:textId="77777777" w:rsidR="008D3956" w:rsidRPr="008D3956" w:rsidRDefault="008D3956" w:rsidP="008D3956">
      <w:pPr>
        <w:shd w:val="clear" w:color="auto" w:fill="FFFFFF"/>
        <w:jc w:val="both"/>
        <w:rPr>
          <w:rFonts w:ascii="Arial" w:eastAsia="Calibri" w:hAnsi="Arial" w:cs="Arial"/>
          <w:b/>
          <w:bCs/>
          <w:sz w:val="22"/>
          <w:szCs w:val="22"/>
          <w:u w:val="single"/>
        </w:rPr>
      </w:pPr>
      <w:r w:rsidRPr="008D3956">
        <w:rPr>
          <w:rFonts w:ascii="Arial" w:eastAsia="Calibri" w:hAnsi="Arial" w:cs="Arial"/>
          <w:b/>
          <w:bCs/>
          <w:sz w:val="22"/>
          <w:szCs w:val="22"/>
          <w:u w:val="single"/>
        </w:rPr>
        <w:t>PROGRAM A101104 Organizacija sustava civilne zaštite</w:t>
      </w:r>
    </w:p>
    <w:p w14:paraId="0EE19DB9" w14:textId="77777777" w:rsidR="008D3956" w:rsidRPr="008D3956" w:rsidRDefault="008D3956" w:rsidP="008D3956">
      <w:pPr>
        <w:shd w:val="clear" w:color="auto" w:fill="FFFFFF"/>
        <w:jc w:val="both"/>
        <w:rPr>
          <w:rFonts w:ascii="Arial" w:eastAsia="Calibri" w:hAnsi="Arial" w:cs="Arial"/>
          <w:b/>
          <w:bCs/>
          <w:sz w:val="22"/>
          <w:szCs w:val="22"/>
          <w:u w:val="single"/>
        </w:rPr>
      </w:pPr>
    </w:p>
    <w:p w14:paraId="006C7F0E" w14:textId="77777777" w:rsidR="008D3956" w:rsidRPr="008D3956" w:rsidRDefault="008D3956" w:rsidP="008D3956">
      <w:pPr>
        <w:shd w:val="clear" w:color="auto" w:fill="DBE5F1"/>
        <w:jc w:val="both"/>
        <w:rPr>
          <w:rFonts w:ascii="Arial" w:eastAsia="Calibri" w:hAnsi="Arial" w:cs="Arial"/>
          <w:b/>
          <w:bCs/>
          <w:lang w:eastAsia="en-US"/>
          <w14:ligatures w14:val="standardContextual"/>
        </w:rPr>
      </w:pPr>
      <w:r w:rsidRPr="008D3956">
        <w:rPr>
          <w:rFonts w:ascii="Arial" w:eastAsia="Calibri" w:hAnsi="Arial" w:cs="Arial"/>
          <w:b/>
          <w:bCs/>
          <w:sz w:val="22"/>
          <w:szCs w:val="22"/>
          <w:lang w:eastAsia="en-US"/>
          <w14:ligatures w14:val="standardContextual"/>
        </w:rPr>
        <w:t xml:space="preserve">  </w:t>
      </w:r>
    </w:p>
    <w:p w14:paraId="5D52DC14" w14:textId="7BFB06C7" w:rsidR="008D3956" w:rsidRPr="008D3956" w:rsidRDefault="008D3956" w:rsidP="008D3956">
      <w:pPr>
        <w:shd w:val="clear" w:color="auto" w:fill="DBE5F1"/>
        <w:jc w:val="both"/>
        <w:rPr>
          <w:rFonts w:ascii="Arial" w:eastAsia="Calibri" w:hAnsi="Arial" w:cs="Arial"/>
          <w:b/>
          <w:bCs/>
        </w:rPr>
      </w:pPr>
      <w:r w:rsidRPr="008D3956">
        <w:rPr>
          <w:rFonts w:ascii="Arial" w:eastAsia="Calibri" w:hAnsi="Arial" w:cs="Arial"/>
          <w:b/>
          <w:bCs/>
          <w:lang w:eastAsia="en-US"/>
          <w14:ligatures w14:val="standardContextual"/>
        </w:rPr>
        <w:t xml:space="preserve">Aktivnost A101104  – Djelatnost Vatrogasne zajednice DNŽ </w:t>
      </w:r>
      <w:r w:rsidRPr="008D3956">
        <w:rPr>
          <w:rFonts w:ascii="Arial" w:eastAsia="Calibri" w:hAnsi="Arial" w:cs="Arial"/>
          <w:b/>
          <w:bCs/>
          <w:lang w:eastAsia="en-US"/>
          <w14:ligatures w14:val="standardContextual"/>
        </w:rPr>
        <w:tab/>
        <w:t xml:space="preserve"> + 35.000,00 EUR</w:t>
      </w:r>
    </w:p>
    <w:p w14:paraId="4ED1DA9C" w14:textId="77777777" w:rsidR="008D3956" w:rsidRPr="008D3956" w:rsidRDefault="008D3956" w:rsidP="008D3956">
      <w:pPr>
        <w:shd w:val="clear" w:color="auto" w:fill="FFFFFF"/>
        <w:jc w:val="both"/>
        <w:rPr>
          <w:rFonts w:ascii="Arial" w:eastAsia="Calibri" w:hAnsi="Arial" w:cs="Arial"/>
          <w:b/>
          <w:bCs/>
          <w:u w:val="single"/>
          <w:lang w:eastAsia="en-US"/>
          <w14:ligatures w14:val="standardContextual"/>
        </w:rPr>
      </w:pPr>
    </w:p>
    <w:p w14:paraId="63BC74D3" w14:textId="77777777" w:rsidR="008D3956" w:rsidRPr="008D3956" w:rsidRDefault="008D3956" w:rsidP="008D3956">
      <w:pPr>
        <w:shd w:val="clear" w:color="auto" w:fill="FFFFFF"/>
        <w:jc w:val="both"/>
        <w:rPr>
          <w:rFonts w:ascii="Arial" w:eastAsia="Calibri" w:hAnsi="Arial" w:cs="Arial"/>
          <w:lang w:eastAsia="en-US"/>
          <w14:ligatures w14:val="standardContextual"/>
        </w:rPr>
      </w:pPr>
      <w:r w:rsidRPr="008D3956">
        <w:rPr>
          <w:rFonts w:ascii="Arial" w:eastAsia="Calibri" w:hAnsi="Arial" w:cs="Arial"/>
          <w:lang w:eastAsia="en-US"/>
          <w14:ligatures w14:val="standardContextual"/>
        </w:rPr>
        <w:t xml:space="preserve">Udovoljavajući zahtjevu </w:t>
      </w:r>
      <w:r w:rsidRPr="008D3956">
        <w:rPr>
          <w:rFonts w:ascii="Arial" w:eastAsia="Calibri" w:hAnsi="Arial" w:cs="Arial"/>
          <w:bCs/>
          <w:lang w:eastAsia="en-US"/>
          <w14:ligatures w14:val="standardContextual"/>
        </w:rPr>
        <w:t>Vatrogasne zajednice DNŽ-e</w:t>
      </w:r>
      <w:r w:rsidRPr="008D3956">
        <w:rPr>
          <w:rFonts w:ascii="Arial" w:eastAsia="Calibri" w:hAnsi="Arial" w:cs="Arial"/>
          <w:lang w:eastAsia="en-US"/>
          <w14:ligatures w14:val="standardContextual"/>
        </w:rPr>
        <w:t xml:space="preserve"> ukupni iznos osiguran za provedbu aktivnosti A 1110401 Djelatnost Vatrogasne zajednice Dubrovačko-neretvanske županije povećava se za 35.000,00 EUR. Smatramo da to povećanje opravdanim, kao i odstupanje od planiranih projekcija Proračuna DNŽ za 2025. godinu,  radi niza izmjena koje su se dogodile s razine Hrvatske vatrogasne zajednice, a utječu na troškove županijskih vatrogasnih zajednica čemu su uzrok, uglavnom, različiti podzakonski akti koji određuju ustroj i materijalna prava pripadnika vatrogasnih postrojbi. U posljednje vrijeme, također, došlo je modernizacije i povećanja cijena potrebne nabavljene vatrogasne opreme kao i programa osposobljavanja. Vatrogasne snage DNŽ, kao operativne snage civilne zaštite Dubrovačko-neretvanske županije, u značajnoj mjeri pridonose ostvarenju ciljeva navedenih u strateškim dokumentima. </w:t>
      </w:r>
    </w:p>
    <w:p w14:paraId="4FDAC0E8" w14:textId="77777777" w:rsidR="008D3956" w:rsidRPr="008D3956" w:rsidRDefault="008D3956" w:rsidP="008D3956">
      <w:pPr>
        <w:shd w:val="clear" w:color="auto" w:fill="FFFFFF"/>
        <w:jc w:val="both"/>
        <w:rPr>
          <w:rFonts w:ascii="Calibri" w:eastAsia="Calibri" w:hAnsi="Calibri" w:cs="Calibri"/>
          <w:lang w:eastAsia="en-US"/>
          <w14:ligatures w14:val="standardContextual"/>
        </w:rPr>
      </w:pPr>
    </w:p>
    <w:p w14:paraId="16276099" w14:textId="77777777" w:rsidR="008D3956" w:rsidRPr="008D3956" w:rsidRDefault="008D3956" w:rsidP="008D3956">
      <w:pPr>
        <w:shd w:val="clear" w:color="auto" w:fill="FFFFFF"/>
        <w:jc w:val="both"/>
        <w:rPr>
          <w:rFonts w:ascii="Arial" w:eastAsia="Calibri" w:hAnsi="Arial" w:cs="Arial"/>
          <w:lang w:eastAsia="en-US"/>
          <w14:ligatures w14:val="standardContextual"/>
        </w:rPr>
      </w:pPr>
      <w:r w:rsidRPr="008D3956">
        <w:rPr>
          <w:rFonts w:ascii="Arial" w:eastAsia="Calibri" w:hAnsi="Arial" w:cs="Arial"/>
          <w:b/>
          <w:bCs/>
          <w:lang w:eastAsia="en-US"/>
          <w14:ligatures w14:val="standardContextual"/>
        </w:rPr>
        <w:t>Povezanost programa sa strateškim dokumentima:</w:t>
      </w:r>
      <w:r w:rsidRPr="008D3956">
        <w:rPr>
          <w:rFonts w:ascii="Arial" w:eastAsia="Calibri" w:hAnsi="Arial" w:cs="Arial"/>
          <w:lang w:eastAsia="en-US"/>
          <w14:ligatures w14:val="standardContextual"/>
        </w:rPr>
        <w:t xml:space="preserve"> Ovaj program doprinosi ostvarenju posebnih ciljeva Plana razvoja Dubrovačko-neretvanske županije do 2027, Provedbeni program Dubrovačko-neretvanske županije za razdoblje do 2025. godine: Posebnog cilja 4.2. Povećanje sposobnosti institucija u pogledu odgovora na krizne situacije – Mjere 4.2.1. Poboljšanje sustava vatrogastva i Mjere 4.2.2. Jačanje ostalih dijelova sustava civilne zaštite.</w:t>
      </w:r>
    </w:p>
    <w:p w14:paraId="7389C967" w14:textId="77777777" w:rsidR="006E6428" w:rsidRPr="008D3956" w:rsidRDefault="006E6428" w:rsidP="006E6428">
      <w:pPr>
        <w:shd w:val="clear" w:color="auto" w:fill="FFFFFF"/>
        <w:jc w:val="both"/>
        <w:rPr>
          <w:rFonts w:ascii="Arial" w:eastAsia="Calibri" w:hAnsi="Arial" w:cs="Arial"/>
          <w:sz w:val="22"/>
          <w:szCs w:val="22"/>
          <w:lang w:eastAsia="en-US"/>
          <w14:ligatures w14:val="standardContextual"/>
        </w:rPr>
      </w:pPr>
    </w:p>
    <w:p w14:paraId="466104D1" w14:textId="017C6345" w:rsidR="008D3956" w:rsidRPr="008D3956" w:rsidRDefault="008D3956" w:rsidP="008D3956">
      <w:pPr>
        <w:shd w:val="clear" w:color="auto" w:fill="DBE5F1"/>
        <w:jc w:val="both"/>
        <w:rPr>
          <w:rFonts w:ascii="Arial" w:eastAsia="Calibri" w:hAnsi="Arial" w:cs="Arial"/>
          <w:b/>
          <w:bCs/>
        </w:rPr>
      </w:pPr>
      <w:r w:rsidRPr="008D3956">
        <w:rPr>
          <w:rFonts w:ascii="Arial" w:eastAsia="Calibri" w:hAnsi="Arial" w:cs="Arial"/>
          <w:b/>
          <w:bCs/>
          <w:lang w:eastAsia="en-US"/>
          <w14:ligatures w14:val="standardContextual"/>
        </w:rPr>
        <w:t>Aktivnost A101104  – Planovi iz područja civilne zaštite</w:t>
      </w:r>
      <w:r w:rsidRPr="008D3956">
        <w:rPr>
          <w:rFonts w:ascii="Arial" w:eastAsia="Calibri" w:hAnsi="Arial" w:cs="Arial"/>
          <w:b/>
          <w:bCs/>
          <w:lang w:eastAsia="en-US"/>
          <w14:ligatures w14:val="standardContextual"/>
        </w:rPr>
        <w:tab/>
      </w:r>
      <w:r w:rsidRPr="008D3956">
        <w:rPr>
          <w:rFonts w:ascii="Arial" w:eastAsia="Calibri" w:hAnsi="Arial" w:cs="Arial"/>
          <w:b/>
          <w:bCs/>
          <w:lang w:eastAsia="en-US"/>
          <w14:ligatures w14:val="standardContextual"/>
        </w:rPr>
        <w:tab/>
        <w:t xml:space="preserve"> – 10.000,00 EUR</w:t>
      </w:r>
    </w:p>
    <w:p w14:paraId="1302A1A4" w14:textId="77777777" w:rsidR="008D3956" w:rsidRPr="008D3956" w:rsidRDefault="008D3956" w:rsidP="008D3956">
      <w:pPr>
        <w:shd w:val="clear" w:color="auto" w:fill="FFFFFF"/>
        <w:jc w:val="both"/>
        <w:rPr>
          <w:rFonts w:ascii="Arial" w:eastAsia="Calibri" w:hAnsi="Arial" w:cs="Arial"/>
          <w:lang w:eastAsia="en-US"/>
          <w14:ligatures w14:val="standardContextual"/>
        </w:rPr>
      </w:pPr>
    </w:p>
    <w:p w14:paraId="66FFD0A4" w14:textId="431A2054" w:rsidR="008D3956" w:rsidRPr="008D3956" w:rsidRDefault="008D3956" w:rsidP="008D3956">
      <w:pPr>
        <w:shd w:val="clear" w:color="auto" w:fill="FFFFFF"/>
        <w:jc w:val="both"/>
        <w:rPr>
          <w:rFonts w:ascii="Arial" w:eastAsia="Calibri" w:hAnsi="Arial" w:cs="Arial"/>
          <w:lang w:eastAsia="en-US"/>
          <w14:ligatures w14:val="standardContextual"/>
        </w:rPr>
      </w:pPr>
      <w:r w:rsidRPr="008D3956">
        <w:rPr>
          <w:rFonts w:ascii="Arial" w:eastAsia="Calibri" w:hAnsi="Arial" w:cs="Arial"/>
          <w:lang w:eastAsia="en-US"/>
          <w14:ligatures w14:val="standardContextual"/>
        </w:rPr>
        <w:t xml:space="preserve">Prijedlogom rebalansa Proračuna DNŽ za 2024. godinu sredstva predviđena za realizaciju ove aktivnosti se umanjuju za 10.000,00 EUR. Naime, ove je godine bila planirana izrada dvaju planskih dokumenata iz područja civilne zaštite – Procjene ugroženosti od požara i tehnološke eksplozije te Plana zaštite od požara Dubrovačko-neretvanske županije. Radi nešto dugotrajnijeg procesa izrade samih dokumenta i njihovim usklađenjem s važećim zakonskim i podzakonskim aktima kojima je određeno područje vatrogastva i zaštite od požara, dokumenti nisu izrađeni niti upućeni Županijskoj skupštini na raspravu i donošenje. Njihovo se donošenje očekuje u prvom kvartalu sljedeće godine radi čega su planirana sredstva osigurana ovogodišnjim Proračunom umanjenja. Ostatak sredstava namijenjen je eventualnoj žurnoj i neplaniranoj izradi planskih dokumenata iz područje civilne zaštite ukoliko se za time do kraja godine ukaže potreba. </w:t>
      </w:r>
    </w:p>
    <w:p w14:paraId="225CD1B8" w14:textId="4912E9DB" w:rsidR="002224C6" w:rsidRPr="008D3956" w:rsidRDefault="002224C6" w:rsidP="006E6428">
      <w:pPr>
        <w:shd w:val="clear" w:color="auto" w:fill="FFFFFF"/>
        <w:jc w:val="both"/>
        <w:rPr>
          <w:rFonts w:ascii="Arial" w:eastAsia="Calibri" w:hAnsi="Arial" w:cs="Arial"/>
          <w:sz w:val="22"/>
          <w:szCs w:val="22"/>
          <w:lang w:eastAsia="en-US"/>
          <w14:ligatures w14:val="standardContextual"/>
        </w:rPr>
      </w:pPr>
    </w:p>
    <w:p w14:paraId="75A2411C" w14:textId="6CA8C51B" w:rsidR="008D3956" w:rsidRPr="008D3956" w:rsidRDefault="008D3956" w:rsidP="006E6428">
      <w:pPr>
        <w:shd w:val="clear" w:color="auto" w:fill="FFFFFF"/>
        <w:jc w:val="both"/>
        <w:rPr>
          <w:rFonts w:ascii="Arial" w:eastAsia="Calibri" w:hAnsi="Arial" w:cs="Arial"/>
          <w:sz w:val="22"/>
          <w:szCs w:val="22"/>
          <w:lang w:eastAsia="en-US"/>
          <w14:ligatures w14:val="standardContextual"/>
        </w:rPr>
      </w:pPr>
    </w:p>
    <w:p w14:paraId="283340F5" w14:textId="209E12D3" w:rsidR="008D3956" w:rsidRPr="008D3956" w:rsidRDefault="008D3956" w:rsidP="008D3956">
      <w:pPr>
        <w:shd w:val="clear" w:color="auto" w:fill="DBE5F1"/>
        <w:jc w:val="both"/>
        <w:rPr>
          <w:rFonts w:ascii="Arial" w:eastAsia="Calibri" w:hAnsi="Arial" w:cs="Arial"/>
          <w:b/>
          <w:bCs/>
          <w:lang w:eastAsia="en-US"/>
          <w14:ligatures w14:val="standardContextual"/>
        </w:rPr>
      </w:pPr>
      <w:r w:rsidRPr="008D3956">
        <w:rPr>
          <w:rFonts w:ascii="Arial" w:eastAsia="Calibri" w:hAnsi="Arial" w:cs="Arial"/>
          <w:b/>
          <w:bCs/>
          <w:lang w:eastAsia="en-US"/>
          <w14:ligatures w14:val="standardContextual"/>
        </w:rPr>
        <w:t>Aktivnost A101105  – Aktivnost Stožera civilne zaštite</w:t>
      </w:r>
      <w:r w:rsidRPr="008D3956">
        <w:rPr>
          <w:rFonts w:ascii="Arial" w:eastAsia="Calibri" w:hAnsi="Arial" w:cs="Arial"/>
          <w:b/>
          <w:bCs/>
          <w:lang w:eastAsia="en-US"/>
          <w14:ligatures w14:val="standardContextual"/>
        </w:rPr>
        <w:tab/>
        <w:t xml:space="preserve">            – 53.500,00 EUR</w:t>
      </w:r>
    </w:p>
    <w:p w14:paraId="514FB02C" w14:textId="77777777" w:rsidR="008D3956" w:rsidRPr="008D3956" w:rsidRDefault="008D3956" w:rsidP="008D3956">
      <w:pPr>
        <w:shd w:val="clear" w:color="auto" w:fill="FFFFFF"/>
        <w:jc w:val="both"/>
        <w:rPr>
          <w:rFonts w:ascii="Arial" w:eastAsia="Calibri" w:hAnsi="Arial" w:cs="Arial"/>
          <w:lang w:eastAsia="en-US"/>
          <w14:ligatures w14:val="standardContextual"/>
        </w:rPr>
      </w:pPr>
    </w:p>
    <w:p w14:paraId="79267886" w14:textId="77777777" w:rsidR="008D3956" w:rsidRPr="008D3956" w:rsidRDefault="008D3956" w:rsidP="008D3956">
      <w:pPr>
        <w:shd w:val="clear" w:color="auto" w:fill="FFFFFF"/>
        <w:jc w:val="both"/>
        <w:rPr>
          <w:rFonts w:ascii="Arial" w:eastAsia="Calibri" w:hAnsi="Arial" w:cs="Arial"/>
          <w:lang w:eastAsia="en-US"/>
          <w14:ligatures w14:val="standardContextual"/>
        </w:rPr>
      </w:pPr>
      <w:r w:rsidRPr="008D3956">
        <w:rPr>
          <w:rFonts w:ascii="Arial" w:eastAsia="Calibri" w:hAnsi="Arial" w:cs="Arial"/>
          <w:lang w:eastAsia="en-US"/>
          <w14:ligatures w14:val="standardContextual"/>
        </w:rPr>
        <w:t xml:space="preserve">Sredstava predviđena za realizaciju ove aktivnosti se umanjuju za predloženi iznos s obzirom da tijekom godine nije realiziran predviđeni projekt dodatne rekonstrukcije i opremanja prostorija Stožera civilne zaštite. Planirano je, naime, u suradnji sa Ravnateljstvom civilne zaštite, odnosno Službom civilne zaštite Dubrovnik, dodatno uređenje prostora i nabava nove oprema čime bi se ustrojilo svojevrsno središte za upravljanje kriznim situacijama za područje Dubrovačko-neretvanske županije. S realizacijom spomenutog projekta planirano je krenuti 2025. godine. Također, nije bilo značajnije potrebe za dodatnom nabavom oprema za operativne snage sustava civilne zaštite s područja Dubrovačko-neretvanske županije s obzirom da Dubrovačko-neretvanska županija operativne snage sustava civilne zaštite sa svog područja osposobljava i oprema realizirajući aktivnosti različitih EU projekata iz područja civilne zaštite. </w:t>
      </w:r>
    </w:p>
    <w:p w14:paraId="219E996B" w14:textId="5C70540B" w:rsidR="008D3956" w:rsidRPr="008D3956" w:rsidRDefault="008D3956" w:rsidP="006E6428">
      <w:pPr>
        <w:shd w:val="clear" w:color="auto" w:fill="FFFFFF"/>
        <w:jc w:val="both"/>
        <w:rPr>
          <w:rFonts w:ascii="Arial" w:eastAsia="Calibri" w:hAnsi="Arial" w:cs="Arial"/>
          <w:sz w:val="22"/>
          <w:szCs w:val="22"/>
          <w:lang w:eastAsia="en-US"/>
          <w14:ligatures w14:val="standardContextual"/>
        </w:rPr>
      </w:pPr>
    </w:p>
    <w:p w14:paraId="5C551059" w14:textId="77777777" w:rsidR="008D3956" w:rsidRPr="008D3956" w:rsidRDefault="008D3956" w:rsidP="006E6428">
      <w:pPr>
        <w:shd w:val="clear" w:color="auto" w:fill="FFFFFF"/>
        <w:jc w:val="both"/>
        <w:rPr>
          <w:rFonts w:ascii="Arial" w:eastAsia="Calibri" w:hAnsi="Arial" w:cs="Arial"/>
          <w:sz w:val="22"/>
          <w:szCs w:val="22"/>
          <w:lang w:eastAsia="en-US"/>
          <w14:ligatures w14:val="standardContextual"/>
        </w:rPr>
      </w:pPr>
    </w:p>
    <w:p w14:paraId="66E09934" w14:textId="09643A72" w:rsidR="002224C6" w:rsidRPr="008D3956" w:rsidRDefault="002224C6" w:rsidP="006E6428">
      <w:pPr>
        <w:shd w:val="clear" w:color="auto" w:fill="FFFFFF"/>
        <w:jc w:val="both"/>
        <w:rPr>
          <w:rFonts w:ascii="Arial" w:eastAsia="Calibri" w:hAnsi="Arial" w:cs="Arial"/>
          <w:b/>
          <w:bCs/>
          <w:sz w:val="22"/>
          <w:szCs w:val="22"/>
          <w:u w:val="single"/>
          <w:lang w:eastAsia="en-US"/>
          <w14:ligatures w14:val="standardContextual"/>
        </w:rPr>
      </w:pPr>
      <w:r w:rsidRPr="008D3956">
        <w:rPr>
          <w:rFonts w:ascii="Arial" w:eastAsia="Calibri" w:hAnsi="Arial" w:cs="Arial"/>
          <w:b/>
          <w:bCs/>
          <w:sz w:val="22"/>
          <w:szCs w:val="22"/>
          <w:u w:val="single"/>
          <w:lang w:eastAsia="en-US"/>
          <w14:ligatures w14:val="standardContextual"/>
        </w:rPr>
        <w:t xml:space="preserve">PROGRAM  A101105 Međunarodni projekti </w:t>
      </w:r>
    </w:p>
    <w:p w14:paraId="065F210E" w14:textId="77777777" w:rsidR="002224C6" w:rsidRPr="008D3956" w:rsidRDefault="002224C6" w:rsidP="006E6428">
      <w:pPr>
        <w:shd w:val="clear" w:color="auto" w:fill="FFFFFF"/>
        <w:jc w:val="both"/>
        <w:rPr>
          <w:rFonts w:ascii="Arial" w:eastAsia="Calibri" w:hAnsi="Arial" w:cs="Arial"/>
          <w:b/>
          <w:bCs/>
          <w:sz w:val="22"/>
          <w:szCs w:val="22"/>
          <w:u w:val="single"/>
          <w:lang w:eastAsia="en-US"/>
          <w14:ligatures w14:val="standardContextual"/>
        </w:rPr>
      </w:pPr>
    </w:p>
    <w:p w14:paraId="49FD2801" w14:textId="732FA124" w:rsidR="002224C6" w:rsidRPr="008D3956" w:rsidRDefault="002224C6" w:rsidP="002224C6">
      <w:pPr>
        <w:pBdr>
          <w:top w:val="single" w:sz="4" w:space="1" w:color="auto"/>
          <w:left w:val="single" w:sz="4" w:space="4" w:color="auto"/>
          <w:bottom w:val="single" w:sz="4" w:space="1" w:color="auto"/>
          <w:right w:val="single" w:sz="4" w:space="4" w:color="auto"/>
        </w:pBdr>
        <w:shd w:val="clear" w:color="auto" w:fill="DBE5F1"/>
        <w:jc w:val="both"/>
        <w:rPr>
          <w:rFonts w:ascii="Arial" w:hAnsi="Arial" w:cs="Arial"/>
          <w:b/>
        </w:rPr>
      </w:pPr>
      <w:r w:rsidRPr="008D3956">
        <w:rPr>
          <w:rFonts w:ascii="Arial" w:hAnsi="Arial" w:cs="Arial"/>
          <w:b/>
        </w:rPr>
        <w:t xml:space="preserve">Aktivnost A110501 – Fond za pripremu i provedbu projekata </w:t>
      </w:r>
      <w:r w:rsidR="00D903F1" w:rsidRPr="008D3956">
        <w:rPr>
          <w:rFonts w:ascii="Arial" w:hAnsi="Arial" w:cs="Arial"/>
          <w:b/>
        </w:rPr>
        <w:t xml:space="preserve"> </w:t>
      </w:r>
      <w:r w:rsidR="00D02C8D" w:rsidRPr="008D3956">
        <w:rPr>
          <w:rFonts w:ascii="Arial" w:hAnsi="Arial" w:cs="Arial"/>
          <w:b/>
        </w:rPr>
        <w:t>+</w:t>
      </w:r>
      <w:r w:rsidR="00635323" w:rsidRPr="008D3956">
        <w:rPr>
          <w:rFonts w:ascii="Arial" w:hAnsi="Arial" w:cs="Arial"/>
          <w:b/>
        </w:rPr>
        <w:t xml:space="preserve"> </w:t>
      </w:r>
      <w:r w:rsidR="00E83C21">
        <w:rPr>
          <w:rFonts w:ascii="Arial" w:hAnsi="Arial" w:cs="Arial"/>
          <w:b/>
        </w:rPr>
        <w:t>671.906</w:t>
      </w:r>
      <w:r w:rsidR="00D02C8D" w:rsidRPr="008D3956">
        <w:rPr>
          <w:rFonts w:ascii="Arial" w:hAnsi="Arial" w:cs="Arial"/>
          <w:b/>
        </w:rPr>
        <w:t>,04</w:t>
      </w:r>
      <w:r w:rsidR="0023662C" w:rsidRPr="008D3956">
        <w:rPr>
          <w:rFonts w:ascii="Arial" w:hAnsi="Arial" w:cs="Arial"/>
          <w:b/>
        </w:rPr>
        <w:t xml:space="preserve"> </w:t>
      </w:r>
      <w:r w:rsidR="00D02C8D" w:rsidRPr="008D3956">
        <w:rPr>
          <w:rFonts w:ascii="Arial" w:hAnsi="Arial" w:cs="Arial"/>
          <w:b/>
        </w:rPr>
        <w:t>EUR</w:t>
      </w:r>
    </w:p>
    <w:p w14:paraId="7BCA3723" w14:textId="77777777" w:rsidR="002224C6" w:rsidRPr="008D3956" w:rsidRDefault="002224C6" w:rsidP="006E6428">
      <w:pPr>
        <w:shd w:val="clear" w:color="auto" w:fill="FFFFFF"/>
        <w:jc w:val="both"/>
        <w:rPr>
          <w:rFonts w:ascii="Arial" w:eastAsia="Calibri" w:hAnsi="Arial" w:cs="Arial"/>
          <w:b/>
          <w:bCs/>
          <w:sz w:val="22"/>
          <w:szCs w:val="22"/>
          <w:u w:val="single"/>
          <w:lang w:eastAsia="en-US"/>
          <w14:ligatures w14:val="standardContextual"/>
        </w:rPr>
      </w:pPr>
    </w:p>
    <w:p w14:paraId="315E8A5E" w14:textId="098A0C15" w:rsidR="00263817" w:rsidRPr="008D3956" w:rsidRDefault="00D02C8D" w:rsidP="005D372A">
      <w:pPr>
        <w:shd w:val="clear" w:color="auto" w:fill="FFFFFF"/>
        <w:jc w:val="both"/>
        <w:rPr>
          <w:rFonts w:ascii="Arial" w:eastAsia="Calibri" w:hAnsi="Arial" w:cs="Arial"/>
        </w:rPr>
      </w:pPr>
      <w:r w:rsidRPr="008D3956">
        <w:rPr>
          <w:rFonts w:ascii="Arial" w:eastAsia="Calibri" w:hAnsi="Arial" w:cs="Arial"/>
        </w:rPr>
        <w:t>Povećava</w:t>
      </w:r>
      <w:r w:rsidR="00635323" w:rsidRPr="008D3956">
        <w:rPr>
          <w:rFonts w:ascii="Arial" w:eastAsia="Calibri" w:hAnsi="Arial" w:cs="Arial"/>
        </w:rPr>
        <w:t xml:space="preserve"> se stavka u iznosu od </w:t>
      </w:r>
      <w:r w:rsidR="00E83C21">
        <w:rPr>
          <w:rFonts w:ascii="Arial" w:eastAsia="Calibri" w:hAnsi="Arial" w:cs="Arial"/>
        </w:rPr>
        <w:t>671.906</w:t>
      </w:r>
      <w:r w:rsidRPr="008D3956">
        <w:rPr>
          <w:rFonts w:ascii="Arial" w:eastAsia="Calibri" w:hAnsi="Arial" w:cs="Arial"/>
        </w:rPr>
        <w:t>,04 EUR</w:t>
      </w:r>
      <w:r w:rsidR="00635323" w:rsidRPr="008D3956">
        <w:rPr>
          <w:rFonts w:ascii="Arial" w:eastAsia="Calibri" w:hAnsi="Arial" w:cs="Arial"/>
        </w:rPr>
        <w:t xml:space="preserve"> u skladu sa brojem odobrenih projekata u ovoj godini, te potrebama za sufinanciranje istih iz Proračuna županije.</w:t>
      </w:r>
    </w:p>
    <w:p w14:paraId="3FBDF68D" w14:textId="77777777" w:rsidR="00D02C8D" w:rsidRPr="008D3956" w:rsidRDefault="00D02C8D" w:rsidP="005D372A">
      <w:pPr>
        <w:shd w:val="clear" w:color="auto" w:fill="FFFFFF"/>
        <w:jc w:val="both"/>
        <w:rPr>
          <w:rFonts w:ascii="Arial" w:eastAsia="Calibri" w:hAnsi="Arial" w:cs="Arial"/>
        </w:rPr>
      </w:pPr>
    </w:p>
    <w:p w14:paraId="7BDDE48F" w14:textId="3966BA12" w:rsidR="008C7233" w:rsidRPr="008D3956" w:rsidRDefault="001849BB" w:rsidP="008C7233">
      <w:pPr>
        <w:pBdr>
          <w:top w:val="single" w:sz="4" w:space="1" w:color="auto"/>
          <w:left w:val="single" w:sz="4" w:space="4" w:color="auto"/>
          <w:bottom w:val="single" w:sz="4" w:space="1" w:color="auto"/>
          <w:right w:val="single" w:sz="4" w:space="4" w:color="auto"/>
        </w:pBdr>
        <w:shd w:val="clear" w:color="auto" w:fill="DBE5F1"/>
        <w:jc w:val="both"/>
        <w:rPr>
          <w:rFonts w:ascii="Arial" w:hAnsi="Arial" w:cs="Arial"/>
          <w:b/>
        </w:rPr>
      </w:pPr>
      <w:r w:rsidRPr="008D3956">
        <w:rPr>
          <w:rFonts w:ascii="Arial" w:hAnsi="Arial" w:cs="Arial"/>
          <w:b/>
        </w:rPr>
        <w:t>Kapitalni projekt</w:t>
      </w:r>
      <w:r w:rsidR="0023662C" w:rsidRPr="008D3956">
        <w:rPr>
          <w:rFonts w:ascii="Arial" w:hAnsi="Arial" w:cs="Arial"/>
          <w:b/>
        </w:rPr>
        <w:t xml:space="preserve"> K110511</w:t>
      </w:r>
      <w:r w:rsidR="008C7233" w:rsidRPr="008D3956">
        <w:rPr>
          <w:rFonts w:ascii="Arial" w:hAnsi="Arial" w:cs="Arial"/>
          <w:b/>
        </w:rPr>
        <w:t xml:space="preserve"> –</w:t>
      </w:r>
      <w:r w:rsidR="008B5F2A" w:rsidRPr="008D3956">
        <w:rPr>
          <w:rFonts w:ascii="Arial" w:hAnsi="Arial" w:cs="Arial"/>
          <w:b/>
        </w:rPr>
        <w:t xml:space="preserve"> </w:t>
      </w:r>
      <w:r w:rsidRPr="008D3956">
        <w:rPr>
          <w:rFonts w:ascii="Arial" w:hAnsi="Arial" w:cs="Arial"/>
          <w:b/>
        </w:rPr>
        <w:t>EU projekti u pripremi</w:t>
      </w:r>
      <w:r w:rsidR="0023662C" w:rsidRPr="008D3956">
        <w:rPr>
          <w:rFonts w:ascii="Arial" w:hAnsi="Arial" w:cs="Arial"/>
          <w:b/>
        </w:rPr>
        <w:t xml:space="preserve">  -5</w:t>
      </w:r>
      <w:r w:rsidR="00D02C8D" w:rsidRPr="008D3956">
        <w:rPr>
          <w:rFonts w:ascii="Arial" w:hAnsi="Arial" w:cs="Arial"/>
          <w:b/>
        </w:rPr>
        <w:t>5</w:t>
      </w:r>
      <w:r w:rsidR="0023662C" w:rsidRPr="008D3956">
        <w:rPr>
          <w:rFonts w:ascii="Arial" w:hAnsi="Arial" w:cs="Arial"/>
          <w:b/>
        </w:rPr>
        <w:t>.</w:t>
      </w:r>
      <w:r w:rsidR="00D02C8D" w:rsidRPr="008D3956">
        <w:rPr>
          <w:rFonts w:ascii="Arial" w:hAnsi="Arial" w:cs="Arial"/>
          <w:b/>
        </w:rPr>
        <w:t>7</w:t>
      </w:r>
      <w:r w:rsidR="0023662C" w:rsidRPr="008D3956">
        <w:rPr>
          <w:rFonts w:ascii="Arial" w:hAnsi="Arial" w:cs="Arial"/>
          <w:b/>
        </w:rPr>
        <w:t xml:space="preserve">60,00 </w:t>
      </w:r>
      <w:r w:rsidR="00D02C8D" w:rsidRPr="008D3956">
        <w:rPr>
          <w:rFonts w:ascii="Arial" w:hAnsi="Arial" w:cs="Arial"/>
          <w:b/>
        </w:rPr>
        <w:t>EUR</w:t>
      </w:r>
    </w:p>
    <w:p w14:paraId="0A964BBF" w14:textId="77777777" w:rsidR="008C7233" w:rsidRPr="008D3956" w:rsidRDefault="008C7233" w:rsidP="008C7233">
      <w:pPr>
        <w:shd w:val="clear" w:color="auto" w:fill="FFFFFF"/>
        <w:jc w:val="both"/>
        <w:rPr>
          <w:rFonts w:ascii="Arial" w:hAnsi="Arial" w:cs="Arial"/>
          <w:b/>
          <w:u w:val="single"/>
        </w:rPr>
      </w:pPr>
      <w:r w:rsidRPr="008D3956">
        <w:rPr>
          <w:rFonts w:ascii="Arial" w:hAnsi="Arial" w:cs="Arial"/>
          <w:b/>
          <w:u w:val="single"/>
        </w:rPr>
        <w:t xml:space="preserve"> </w:t>
      </w:r>
    </w:p>
    <w:p w14:paraId="42E4935C" w14:textId="73868146" w:rsidR="008C7233" w:rsidRPr="008D3956" w:rsidRDefault="008C7233" w:rsidP="00161E47">
      <w:pPr>
        <w:shd w:val="clear" w:color="auto" w:fill="FFFFFF"/>
        <w:jc w:val="both"/>
        <w:rPr>
          <w:rFonts w:ascii="Arial" w:hAnsi="Arial" w:cs="Arial"/>
        </w:rPr>
      </w:pPr>
      <w:r w:rsidRPr="008D3956">
        <w:rPr>
          <w:rFonts w:ascii="Arial" w:hAnsi="Arial" w:cs="Arial"/>
        </w:rPr>
        <w:t xml:space="preserve">Stavka je predviđena </w:t>
      </w:r>
      <w:r w:rsidR="001849BB" w:rsidRPr="008D3956">
        <w:rPr>
          <w:rFonts w:ascii="Arial" w:hAnsi="Arial" w:cs="Arial"/>
        </w:rPr>
        <w:t>kao rezervacija sredstava za EU projekte koji bi mogli biti odobreni tijekom godine</w:t>
      </w:r>
      <w:r w:rsidR="008B5F2A" w:rsidRPr="008D3956">
        <w:rPr>
          <w:rFonts w:ascii="Arial" w:eastAsia="Calibri" w:hAnsi="Arial" w:cs="Arial"/>
        </w:rPr>
        <w:t>.</w:t>
      </w:r>
      <w:r w:rsidR="001849BB" w:rsidRPr="008D3956">
        <w:rPr>
          <w:rFonts w:ascii="Arial" w:eastAsia="Calibri" w:hAnsi="Arial" w:cs="Arial"/>
        </w:rPr>
        <w:t xml:space="preserve"> </w:t>
      </w:r>
      <w:r w:rsidR="00161E47" w:rsidRPr="008D3956">
        <w:rPr>
          <w:rFonts w:ascii="Arial" w:eastAsia="Calibri" w:hAnsi="Arial" w:cs="Arial"/>
        </w:rPr>
        <w:t xml:space="preserve">Umanjuje se u iznosu od </w:t>
      </w:r>
      <w:r w:rsidR="00D02C8D" w:rsidRPr="008D3956">
        <w:rPr>
          <w:rFonts w:ascii="Arial" w:eastAsia="Calibri" w:hAnsi="Arial" w:cs="Arial"/>
          <w:bCs/>
        </w:rPr>
        <w:t>55</w:t>
      </w:r>
      <w:r w:rsidR="00161E47" w:rsidRPr="008D3956">
        <w:rPr>
          <w:rFonts w:ascii="Arial" w:eastAsia="Calibri" w:hAnsi="Arial" w:cs="Arial"/>
          <w:bCs/>
        </w:rPr>
        <w:t>.</w:t>
      </w:r>
      <w:r w:rsidR="00D02C8D" w:rsidRPr="008D3956">
        <w:rPr>
          <w:rFonts w:ascii="Arial" w:eastAsia="Calibri" w:hAnsi="Arial" w:cs="Arial"/>
          <w:bCs/>
        </w:rPr>
        <w:t>7</w:t>
      </w:r>
      <w:r w:rsidR="00161E47" w:rsidRPr="008D3956">
        <w:rPr>
          <w:rFonts w:ascii="Arial" w:eastAsia="Calibri" w:hAnsi="Arial" w:cs="Arial"/>
          <w:bCs/>
        </w:rPr>
        <w:t>60,00 EUR</w:t>
      </w:r>
      <w:r w:rsidR="00D02C8D" w:rsidRPr="008D3956">
        <w:rPr>
          <w:rFonts w:ascii="Arial" w:eastAsia="Calibri" w:hAnsi="Arial" w:cs="Arial"/>
          <w:bCs/>
        </w:rPr>
        <w:t xml:space="preserve"> budući su se svi projekti koji su bili u pripremi počeli izvršavati po vlastitim stavkama te stoga nema potrebe više za ovom stavkom</w:t>
      </w:r>
      <w:r w:rsidR="00161E47" w:rsidRPr="008D3956">
        <w:rPr>
          <w:rFonts w:ascii="Arial" w:eastAsia="Calibri" w:hAnsi="Arial" w:cs="Arial"/>
          <w:bCs/>
        </w:rPr>
        <w:t>.</w:t>
      </w:r>
      <w:r w:rsidR="00161E47" w:rsidRPr="008D3956">
        <w:rPr>
          <w:rFonts w:ascii="Arial" w:eastAsia="Calibri" w:hAnsi="Arial" w:cs="Arial"/>
        </w:rPr>
        <w:t xml:space="preserve"> </w:t>
      </w:r>
    </w:p>
    <w:p w14:paraId="18744AD8" w14:textId="75FF99A6" w:rsidR="008B5F2A" w:rsidRPr="008D3956" w:rsidRDefault="008B5F2A" w:rsidP="00161E47">
      <w:pPr>
        <w:jc w:val="both"/>
        <w:rPr>
          <w:rFonts w:ascii="Arial" w:eastAsia="Calibri" w:hAnsi="Arial" w:cs="Arial"/>
          <w:bCs/>
        </w:rPr>
      </w:pPr>
      <w:r w:rsidRPr="008D3956">
        <w:rPr>
          <w:rFonts w:ascii="Arial" w:eastAsia="Calibri" w:hAnsi="Arial" w:cs="Arial"/>
          <w:b/>
        </w:rPr>
        <w:t>Povezanost programa sa strateškim dokumentima:</w:t>
      </w:r>
      <w:r w:rsidRPr="008D3956">
        <w:rPr>
          <w:rFonts w:ascii="Arial" w:eastAsia="Calibri" w:hAnsi="Arial" w:cs="Arial"/>
        </w:rPr>
        <w:t xml:space="preserve"> </w:t>
      </w:r>
      <w:r w:rsidRPr="008D3956">
        <w:rPr>
          <w:rFonts w:ascii="Arial" w:eastAsia="Calibri" w:hAnsi="Arial" w:cs="Arial"/>
          <w:bCs/>
        </w:rPr>
        <w:t>Ovaj program doprinosi ostvarenju posebnih ciljeva Plana razvoja Dubrovačko-neretvanske županije do 2027,</w:t>
      </w:r>
      <w:r w:rsidRPr="008D3956">
        <w:rPr>
          <w:rFonts w:ascii="Arial" w:eastAsia="Calibri" w:hAnsi="Arial" w:cs="Arial"/>
        </w:rPr>
        <w:t xml:space="preserve"> Provedbeni program Dubrovačko-neretvanske županije za razdoblje do 2025. godine:</w:t>
      </w:r>
      <w:r w:rsidRPr="008D3956">
        <w:rPr>
          <w:rFonts w:ascii="Arial" w:eastAsia="Calibri" w:hAnsi="Arial" w:cs="Arial"/>
          <w:bCs/>
        </w:rPr>
        <w:t xml:space="preserve"> </w:t>
      </w:r>
      <w:r w:rsidR="000F0173" w:rsidRPr="008D3956">
        <w:rPr>
          <w:rFonts w:ascii="Arial" w:eastAsia="Calibri" w:hAnsi="Arial" w:cs="Arial"/>
          <w:bCs/>
        </w:rPr>
        <w:t xml:space="preserve">Posebnog cilja 4.4. Razvoj ostalih geografskih područja od posebnog interesa, </w:t>
      </w:r>
      <w:r w:rsidR="001849BB" w:rsidRPr="008D3956">
        <w:rPr>
          <w:rFonts w:ascii="Arial" w:eastAsia="Calibri" w:hAnsi="Arial" w:cs="Arial"/>
        </w:rPr>
        <w:t xml:space="preserve">Mjera </w:t>
      </w:r>
      <w:r w:rsidR="00161E47" w:rsidRPr="008D3956">
        <w:rPr>
          <w:rFonts w:ascii="Arial" w:eastAsia="Calibri" w:hAnsi="Arial" w:cs="Arial"/>
        </w:rPr>
        <w:t>4.4.3. Očuvanje okoliša te održivo upravljanje prirodnim i kulturnim vrijednostima</w:t>
      </w:r>
      <w:r w:rsidRPr="008D3956">
        <w:rPr>
          <w:rFonts w:ascii="Arial" w:eastAsia="Calibri" w:hAnsi="Arial" w:cs="Arial"/>
        </w:rPr>
        <w:t>, (</w:t>
      </w:r>
      <w:r w:rsidR="001849BB" w:rsidRPr="008D3956">
        <w:rPr>
          <w:rFonts w:ascii="Arial" w:eastAsia="Calibri" w:hAnsi="Arial" w:cs="Arial"/>
          <w:bCs/>
        </w:rPr>
        <w:t>EU projekt: INTERREG VI-A IPA HR-BiH-CG: MoWaCLIM</w:t>
      </w:r>
      <w:r w:rsidRPr="008D3956">
        <w:rPr>
          <w:rFonts w:ascii="Arial" w:eastAsia="Calibri" w:hAnsi="Arial" w:cs="Arial"/>
        </w:rPr>
        <w:t xml:space="preserve">) i </w:t>
      </w:r>
      <w:r w:rsidRPr="008D3956">
        <w:rPr>
          <w:rFonts w:ascii="Arial" w:eastAsia="Calibri" w:hAnsi="Arial" w:cs="Arial"/>
          <w:bCs/>
        </w:rPr>
        <w:t xml:space="preserve">Posebnog cilja 4.2. Povećanje sposobnosti institucija u pogledu odgovora na krizne situacije – Mjere </w:t>
      </w:r>
      <w:r w:rsidR="00161E47" w:rsidRPr="008D3956">
        <w:rPr>
          <w:rFonts w:ascii="Arial" w:hAnsi="Arial" w:cs="Arial"/>
        </w:rPr>
        <w:t xml:space="preserve">4.2.2. </w:t>
      </w:r>
      <w:r w:rsidR="00161E47" w:rsidRPr="008D3956">
        <w:rPr>
          <w:rFonts w:ascii="Arial" w:hAnsi="Arial" w:cs="Arial"/>
        </w:rPr>
        <w:lastRenderedPageBreak/>
        <w:t>Jačanje ostalih dijelova sustava zaštite i spašavanja</w:t>
      </w:r>
      <w:r w:rsidRPr="008D3956">
        <w:rPr>
          <w:rFonts w:ascii="Arial" w:eastAsia="Calibri" w:hAnsi="Arial" w:cs="Arial"/>
          <w:bCs/>
        </w:rPr>
        <w:t xml:space="preserve"> (</w:t>
      </w:r>
      <w:r w:rsidR="00161E47" w:rsidRPr="008D3956">
        <w:rPr>
          <w:rFonts w:ascii="Arial" w:eastAsia="Calibri" w:hAnsi="Arial" w:cs="Arial"/>
          <w:bCs/>
        </w:rPr>
        <w:t>EU projekt: INTERREG HR-ITA: HANDY</w:t>
      </w:r>
      <w:r w:rsidRPr="008D3956">
        <w:rPr>
          <w:rFonts w:ascii="Arial" w:eastAsia="Calibri" w:hAnsi="Arial" w:cs="Arial"/>
          <w:bCs/>
        </w:rPr>
        <w:t>).</w:t>
      </w:r>
    </w:p>
    <w:p w14:paraId="3A6F1986" w14:textId="540545DA" w:rsidR="008B5F2A" w:rsidRPr="008D3956" w:rsidRDefault="008B5F2A" w:rsidP="008B5F2A">
      <w:pPr>
        <w:shd w:val="clear" w:color="auto" w:fill="FFFFFF"/>
        <w:jc w:val="both"/>
        <w:rPr>
          <w:rFonts w:ascii="Arial" w:eastAsia="Calibri" w:hAnsi="Arial" w:cs="Arial"/>
          <w:bCs/>
        </w:rPr>
      </w:pPr>
    </w:p>
    <w:p w14:paraId="69559309" w14:textId="77777777" w:rsidR="00D92ECD" w:rsidRPr="008D3956" w:rsidRDefault="00D92ECD" w:rsidP="008B5F2A">
      <w:pPr>
        <w:shd w:val="clear" w:color="auto" w:fill="FFFFFF"/>
        <w:jc w:val="both"/>
        <w:rPr>
          <w:rFonts w:ascii="Arial" w:eastAsia="Calibri" w:hAnsi="Arial" w:cs="Arial"/>
          <w:bCs/>
        </w:rPr>
      </w:pPr>
    </w:p>
    <w:p w14:paraId="2EF51F07" w14:textId="240098BC" w:rsidR="008D3956" w:rsidRPr="008D3956" w:rsidRDefault="008D3956" w:rsidP="008D3956">
      <w:pPr>
        <w:pBdr>
          <w:top w:val="single" w:sz="4" w:space="1" w:color="auto"/>
          <w:left w:val="single" w:sz="4" w:space="4" w:color="auto"/>
          <w:bottom w:val="single" w:sz="4" w:space="1" w:color="auto"/>
          <w:right w:val="single" w:sz="4" w:space="4" w:color="auto"/>
        </w:pBdr>
        <w:shd w:val="clear" w:color="auto" w:fill="DBE5F1"/>
        <w:jc w:val="both"/>
        <w:rPr>
          <w:rFonts w:ascii="Arial" w:hAnsi="Arial" w:cs="Arial"/>
          <w:b/>
        </w:rPr>
      </w:pPr>
      <w:r w:rsidRPr="008D3956">
        <w:rPr>
          <w:rFonts w:ascii="Arial" w:hAnsi="Arial" w:cs="Arial"/>
          <w:b/>
        </w:rPr>
        <w:t xml:space="preserve">Kapitalni projekt - </w:t>
      </w:r>
      <w:r w:rsidRPr="008D3956">
        <w:rPr>
          <w:rFonts w:ascii="Arial" w:eastAsia="Calibri" w:hAnsi="Arial" w:cs="Arial"/>
          <w:b/>
          <w:bCs/>
        </w:rPr>
        <w:t>INTERREG HR-ITA: HANDY                             – 143.</w:t>
      </w:r>
      <w:r w:rsidR="00E83C21">
        <w:rPr>
          <w:rFonts w:ascii="Arial" w:eastAsia="Calibri" w:hAnsi="Arial" w:cs="Arial"/>
          <w:b/>
          <w:bCs/>
        </w:rPr>
        <w:t>0</w:t>
      </w:r>
      <w:r w:rsidRPr="008D3956">
        <w:rPr>
          <w:rFonts w:ascii="Arial" w:eastAsia="Calibri" w:hAnsi="Arial" w:cs="Arial"/>
          <w:b/>
          <w:bCs/>
        </w:rPr>
        <w:t>90,00 EUR</w:t>
      </w:r>
    </w:p>
    <w:p w14:paraId="0CB427F6" w14:textId="77777777" w:rsidR="008D3956" w:rsidRPr="008D3956" w:rsidRDefault="008D3956" w:rsidP="008D3956">
      <w:pPr>
        <w:shd w:val="clear" w:color="auto" w:fill="FFFFFF"/>
        <w:jc w:val="both"/>
        <w:rPr>
          <w:rFonts w:ascii="Arial" w:hAnsi="Arial" w:cs="Arial"/>
          <w:b/>
          <w:u w:val="single"/>
        </w:rPr>
      </w:pPr>
      <w:r w:rsidRPr="008D3956">
        <w:rPr>
          <w:rFonts w:ascii="Arial" w:hAnsi="Arial" w:cs="Arial"/>
          <w:b/>
          <w:u w:val="single"/>
        </w:rPr>
        <w:t xml:space="preserve"> </w:t>
      </w:r>
    </w:p>
    <w:p w14:paraId="766DC8BA" w14:textId="77777777" w:rsidR="008D3956" w:rsidRPr="008D3956" w:rsidRDefault="008D3956" w:rsidP="008D3956">
      <w:pPr>
        <w:shd w:val="clear" w:color="auto" w:fill="FFFFFF"/>
        <w:jc w:val="both"/>
        <w:rPr>
          <w:rFonts w:ascii="Arial" w:hAnsi="Arial" w:cs="Arial"/>
        </w:rPr>
      </w:pPr>
      <w:r w:rsidRPr="008D3956">
        <w:rPr>
          <w:rFonts w:ascii="Arial" w:hAnsi="Arial" w:cs="Arial"/>
        </w:rPr>
        <w:t>Izvor financiranja: 1.1.1 Opći prihodi i primici (20%); 5.6.1 Fondovi EU (80%)</w:t>
      </w:r>
    </w:p>
    <w:p w14:paraId="6CBA88E5" w14:textId="77777777" w:rsidR="008D3956" w:rsidRPr="008D3956" w:rsidRDefault="008D3956" w:rsidP="008D3956">
      <w:pPr>
        <w:shd w:val="clear" w:color="auto" w:fill="FFFFFF"/>
        <w:jc w:val="both"/>
        <w:rPr>
          <w:rFonts w:ascii="Arial" w:hAnsi="Arial" w:cs="Arial"/>
        </w:rPr>
      </w:pPr>
      <w:r w:rsidRPr="008D3956">
        <w:rPr>
          <w:rFonts w:ascii="Arial" w:hAnsi="Arial" w:cs="Arial"/>
        </w:rPr>
        <w:t xml:space="preserve">Partneri: Puglia Region Italia (IT),  Regional Civil Protection Agency– Abruzzo Region (IT), Municipality of Aquileia Italia (IT), Splitsko-dalmatinska županija (HR) i Dubrovačko-neretvanska županija </w:t>
      </w:r>
    </w:p>
    <w:p w14:paraId="4B22A6D0" w14:textId="538F83DA" w:rsidR="008D3956" w:rsidRPr="008D3956" w:rsidRDefault="008D3956" w:rsidP="008D3956">
      <w:pPr>
        <w:shd w:val="clear" w:color="auto" w:fill="FFFFFF"/>
        <w:jc w:val="both"/>
        <w:rPr>
          <w:rFonts w:ascii="Arial" w:hAnsi="Arial" w:cs="Arial"/>
        </w:rPr>
      </w:pPr>
      <w:r w:rsidRPr="008D3956">
        <w:rPr>
          <w:rFonts w:ascii="Arial" w:hAnsi="Arial" w:cs="Arial"/>
        </w:rPr>
        <w:t>Ukupan proračun projekta je: 2.531.880,00 EUR , a vrijednost projektnih aktivnosti Dubrovačko-neretvanske županije je 493.880,00 EUR.</w:t>
      </w:r>
    </w:p>
    <w:p w14:paraId="0B664984" w14:textId="77777777" w:rsidR="008D3956" w:rsidRPr="008D3956" w:rsidRDefault="008D3956" w:rsidP="008D3956">
      <w:pPr>
        <w:shd w:val="clear" w:color="auto" w:fill="FFFFFF"/>
        <w:jc w:val="both"/>
        <w:rPr>
          <w:rFonts w:ascii="Arial" w:hAnsi="Arial" w:cs="Arial"/>
        </w:rPr>
      </w:pPr>
      <w:r w:rsidRPr="008D3956">
        <w:rPr>
          <w:rFonts w:ascii="Arial" w:hAnsi="Arial" w:cs="Arial"/>
        </w:rPr>
        <w:t>Kratak opis projekta: Projekt je tematski usmjeren jačanju sustava civilne zaštite na našem području, a posebna je pozornost usmjerena prema riziku od potresa. Realizacijom projektnih aktivnosti za opremanje operativnih snaga Dubrovačko-neretvanske županije nabavili bismo opremu: tronožac (alat za spašavanje iz potresa i teško pristupačnih terena - HGSS Dubrovnik i Orebić), agregat  (za potrebe HGSS stanice Dubrovnik), oprema za inženjere statičare (Hrvatski centar za potresno inženjerstvo), set hidrauličnih podupirača (VZ DNŽ), vibrafon (HGSS Stanica Orebić), šatore (ZU DCK DNŽ). Osim nabave opreme proveli bi se različiti program stručnog osposobljavanja operativnih snaga civilne zaštite od čega je potrebno istaknuti edukaciju inženjera statičara Hrvatskog centra za potresno inženjerstvo.</w:t>
      </w:r>
    </w:p>
    <w:p w14:paraId="6E1EF929" w14:textId="77777777" w:rsidR="008D3956" w:rsidRPr="008D3956" w:rsidRDefault="008D3956" w:rsidP="008D3956">
      <w:pPr>
        <w:shd w:val="clear" w:color="auto" w:fill="FFFFFF"/>
        <w:jc w:val="both"/>
        <w:rPr>
          <w:rFonts w:ascii="Arial" w:eastAsia="Calibri" w:hAnsi="Arial" w:cs="Arial"/>
          <w:b/>
        </w:rPr>
      </w:pPr>
      <w:r w:rsidRPr="008D3956">
        <w:rPr>
          <w:rFonts w:ascii="Arial" w:hAnsi="Arial" w:cs="Arial"/>
        </w:rPr>
        <w:t xml:space="preserve">Provedba projekta službeno je počela u travnju ove godine, a prvi zajednički sastanak i dogovor oko predstojećih aktivnosti održan je u rujnu tako da se provedba značajnih aktivnosti i različitih postupaka nabave očekuje tijekom 2025. godine radi čega je rebalansom predviđeno umanjenje sredstava planiranih u Proračunu za 2024. godinu. </w:t>
      </w:r>
    </w:p>
    <w:p w14:paraId="35497A2E" w14:textId="77777777" w:rsidR="008D3956" w:rsidRPr="008D3956" w:rsidRDefault="008D3956" w:rsidP="008D3956">
      <w:pPr>
        <w:shd w:val="clear" w:color="auto" w:fill="FFFFFF"/>
        <w:jc w:val="both"/>
        <w:rPr>
          <w:rFonts w:ascii="Arial" w:eastAsia="Calibri" w:hAnsi="Arial" w:cs="Arial"/>
          <w:bCs/>
        </w:rPr>
      </w:pPr>
      <w:r w:rsidRPr="008D3956">
        <w:rPr>
          <w:rFonts w:ascii="Arial" w:eastAsia="Calibri" w:hAnsi="Arial" w:cs="Arial"/>
          <w:b/>
        </w:rPr>
        <w:t xml:space="preserve">Povezanost programa sa strateškim dokumentima: </w:t>
      </w:r>
      <w:r w:rsidRPr="008D3956">
        <w:rPr>
          <w:rFonts w:ascii="Arial" w:eastAsia="Calibri" w:hAnsi="Arial" w:cs="Arial"/>
          <w:bCs/>
        </w:rPr>
        <w:t>Ovaj program doprinosi ostvarenju posebnih ciljeva Plana razvoja Dubrovačko-neretvanske županije do 2027,</w:t>
      </w:r>
      <w:r w:rsidRPr="008D3956">
        <w:rPr>
          <w:rFonts w:ascii="Arial" w:eastAsia="Calibri" w:hAnsi="Arial" w:cs="Arial"/>
        </w:rPr>
        <w:t xml:space="preserve"> Provedbeni program Dubrovačko-neretvanske županije za razdoblje do 2025. godine</w:t>
      </w:r>
      <w:r w:rsidRPr="008D3956">
        <w:rPr>
          <w:rFonts w:ascii="Arial" w:eastAsia="Calibri" w:hAnsi="Arial" w:cs="Arial"/>
          <w:bCs/>
        </w:rPr>
        <w:t xml:space="preserve"> Posebnog cilja 4.2. Povećanje sposobnosti institucija u pogledu odgovora na krizne situacije – Mjere </w:t>
      </w:r>
      <w:r w:rsidRPr="008D3956">
        <w:rPr>
          <w:rFonts w:ascii="Arial" w:hAnsi="Arial" w:cs="Arial"/>
        </w:rPr>
        <w:t>4.2.2. Jačanje ostalih dijelova sustava civilne zaštite</w:t>
      </w:r>
      <w:r w:rsidRPr="008D3956">
        <w:rPr>
          <w:rFonts w:ascii="Arial" w:eastAsia="Calibri" w:hAnsi="Arial" w:cs="Arial"/>
          <w:bCs/>
        </w:rPr>
        <w:t>.</w:t>
      </w:r>
    </w:p>
    <w:p w14:paraId="657A09BD" w14:textId="49051D53" w:rsidR="008B5F2A" w:rsidRPr="008D3956" w:rsidRDefault="008B5F2A" w:rsidP="008B5F2A">
      <w:pPr>
        <w:shd w:val="clear" w:color="auto" w:fill="FFFFFF"/>
        <w:jc w:val="both"/>
        <w:rPr>
          <w:rFonts w:ascii="Arial" w:eastAsia="Calibri" w:hAnsi="Arial" w:cs="Arial"/>
          <w:bCs/>
        </w:rPr>
      </w:pPr>
    </w:p>
    <w:p w14:paraId="6442CC65" w14:textId="77777777" w:rsidR="00D92ECD" w:rsidRPr="008D3956" w:rsidRDefault="00D92ECD" w:rsidP="008B5F2A">
      <w:pPr>
        <w:shd w:val="clear" w:color="auto" w:fill="FFFFFF"/>
        <w:jc w:val="both"/>
        <w:rPr>
          <w:rFonts w:ascii="Arial" w:eastAsia="Calibri" w:hAnsi="Arial" w:cs="Arial"/>
          <w:bCs/>
        </w:rPr>
      </w:pPr>
    </w:p>
    <w:p w14:paraId="20124F3A" w14:textId="58F1E00B" w:rsidR="008D3956" w:rsidRPr="008D3956" w:rsidRDefault="008D3956" w:rsidP="008D3956">
      <w:pPr>
        <w:pBdr>
          <w:top w:val="single" w:sz="4" w:space="1" w:color="auto"/>
          <w:left w:val="single" w:sz="4" w:space="4" w:color="auto"/>
          <w:bottom w:val="single" w:sz="4" w:space="1" w:color="auto"/>
          <w:right w:val="single" w:sz="4" w:space="4" w:color="auto"/>
        </w:pBdr>
        <w:shd w:val="clear" w:color="auto" w:fill="DBE5F1"/>
        <w:jc w:val="both"/>
        <w:rPr>
          <w:rFonts w:ascii="Arial" w:hAnsi="Arial" w:cs="Arial"/>
          <w:b/>
        </w:rPr>
      </w:pPr>
      <w:r w:rsidRPr="008D3956">
        <w:rPr>
          <w:rFonts w:ascii="Arial" w:hAnsi="Arial" w:cs="Arial"/>
          <w:b/>
        </w:rPr>
        <w:t xml:space="preserve">Kapitalni projekt - </w:t>
      </w:r>
      <w:r w:rsidRPr="008D3956">
        <w:rPr>
          <w:rFonts w:ascii="Arial" w:hAnsi="Arial" w:cs="Arial"/>
          <w:b/>
          <w:bCs/>
        </w:rPr>
        <w:t>INTERREG VI-A IPA HR-BiH-CG: MoWaCLIM   +272.771,00 EUR</w:t>
      </w:r>
    </w:p>
    <w:p w14:paraId="79762F38" w14:textId="77777777" w:rsidR="008D3956" w:rsidRPr="008D3956" w:rsidRDefault="008D3956" w:rsidP="008D3956">
      <w:pPr>
        <w:shd w:val="clear" w:color="auto" w:fill="FFFFFF"/>
        <w:jc w:val="both"/>
        <w:rPr>
          <w:rFonts w:ascii="Arial" w:hAnsi="Arial" w:cs="Arial"/>
          <w:b/>
          <w:u w:val="single"/>
        </w:rPr>
      </w:pPr>
      <w:r w:rsidRPr="008D3956">
        <w:rPr>
          <w:rFonts w:ascii="Arial" w:hAnsi="Arial" w:cs="Arial"/>
          <w:b/>
          <w:u w:val="single"/>
        </w:rPr>
        <w:t xml:space="preserve"> </w:t>
      </w:r>
    </w:p>
    <w:p w14:paraId="45FE7EAA" w14:textId="77777777" w:rsidR="008D3956" w:rsidRPr="008D3956" w:rsidRDefault="008D3956" w:rsidP="008D3956">
      <w:pPr>
        <w:shd w:val="clear" w:color="auto" w:fill="FFFFFF"/>
        <w:jc w:val="both"/>
        <w:rPr>
          <w:rFonts w:ascii="Arial" w:hAnsi="Arial" w:cs="Arial"/>
        </w:rPr>
      </w:pPr>
      <w:r w:rsidRPr="008D3956">
        <w:rPr>
          <w:rFonts w:ascii="Arial" w:hAnsi="Arial" w:cs="Arial"/>
        </w:rPr>
        <w:t>Izvor financiranja: 1.1.1 Opći prihodi i primici (15%); 5.6.1 Fondovi EU (85%)</w:t>
      </w:r>
    </w:p>
    <w:p w14:paraId="4F4E1B65" w14:textId="77777777" w:rsidR="008D3956" w:rsidRPr="008D3956" w:rsidRDefault="008D3956" w:rsidP="008D3956">
      <w:pPr>
        <w:shd w:val="clear" w:color="auto" w:fill="FFFFFF"/>
        <w:jc w:val="both"/>
        <w:rPr>
          <w:rFonts w:ascii="Arial" w:hAnsi="Arial" w:cs="Arial"/>
        </w:rPr>
      </w:pPr>
      <w:r w:rsidRPr="008D3956">
        <w:rPr>
          <w:rFonts w:ascii="Arial" w:hAnsi="Arial" w:cs="Arial"/>
        </w:rPr>
        <w:t>Partneri: Dubrovačko-neretvanska županija (HR), Sveučilište u Splitu – Fakultet arhitekture, građevinarstva i geodezije (HR), Hrvatska agencija za poljoprivredu i hranu (HR), Ministarstvo poljoprivrede, šumarstva i vodoprivrede Hercegovačko-neretvanske županije (BA), Park prirode Hutovo Blato (BA)</w:t>
      </w:r>
    </w:p>
    <w:p w14:paraId="027DD127" w14:textId="16414679" w:rsidR="008D3956" w:rsidRPr="008D3956" w:rsidRDefault="008D3956" w:rsidP="008D3956">
      <w:pPr>
        <w:shd w:val="clear" w:color="auto" w:fill="FFFFFF"/>
        <w:jc w:val="both"/>
        <w:rPr>
          <w:rFonts w:ascii="Arial" w:hAnsi="Arial" w:cs="Arial"/>
        </w:rPr>
      </w:pPr>
      <w:r w:rsidRPr="008D3956">
        <w:rPr>
          <w:rFonts w:ascii="Arial" w:hAnsi="Arial" w:cs="Arial"/>
        </w:rPr>
        <w:t>Dubrovačko-neretvanska županija je LP (vodeći partner), ukupan proračun projekta je 1.596.954,00 EUR, a vrijednost projektnih aktivnosti Dubrovačko-neretvanske županije: 288.822,00 EUR.</w:t>
      </w:r>
    </w:p>
    <w:p w14:paraId="2FCD8861" w14:textId="77777777" w:rsidR="008D3956" w:rsidRPr="008D3956" w:rsidRDefault="008D3956" w:rsidP="008D3956">
      <w:pPr>
        <w:shd w:val="clear" w:color="auto" w:fill="FFFFFF"/>
        <w:jc w:val="both"/>
        <w:rPr>
          <w:rFonts w:ascii="Arial" w:eastAsia="Calibri" w:hAnsi="Arial" w:cs="Arial"/>
          <w:b/>
        </w:rPr>
      </w:pPr>
      <w:r w:rsidRPr="008D3956">
        <w:rPr>
          <w:rFonts w:ascii="Arial" w:hAnsi="Arial" w:cs="Arial"/>
        </w:rPr>
        <w:t>Kratki opis projekta: Projektom će se uspostaviti sustav prikupljanja i praćenja podataka o utjecaju zaslanjanja donjeg toka Neretve i njezinih pritoka na poljoprivredne kulture i biološku raznolikost. Mjerenja će se obaviti na 7 lokacija u Hrvatskoj i Bosni i Hercegovini, a zahvaljujući dobivenim rezultatima predvidjet će se mjere i aktivnosti koje će pomoći borbi protiv klimatskih promjena očuvanju biološke raznolikosti te unapređenju poljoprivredne proizvodnje</w:t>
      </w:r>
      <w:r w:rsidRPr="008D3956">
        <w:rPr>
          <w:rFonts w:ascii="Arial" w:eastAsia="Calibri" w:hAnsi="Arial" w:cs="Arial"/>
          <w:b/>
        </w:rPr>
        <w:t xml:space="preserve">. </w:t>
      </w:r>
    </w:p>
    <w:p w14:paraId="7AF5C874" w14:textId="77777777" w:rsidR="008D3956" w:rsidRPr="008D3956" w:rsidRDefault="008D3956" w:rsidP="008D3956">
      <w:pPr>
        <w:shd w:val="clear" w:color="auto" w:fill="FFFFFF"/>
        <w:jc w:val="both"/>
        <w:rPr>
          <w:rFonts w:ascii="Arial" w:eastAsia="Calibri" w:hAnsi="Arial" w:cs="Arial"/>
          <w:bCs/>
        </w:rPr>
      </w:pPr>
      <w:r w:rsidRPr="008D3956">
        <w:rPr>
          <w:rFonts w:ascii="Arial" w:hAnsi="Arial" w:cs="Arial"/>
        </w:rPr>
        <w:t xml:space="preserve">Provedba projekta službeno je počela u rujnu ove godine, a prvi zajednički sastanak i dogovor oko predstojećih aktivnosti održan je u listopadu. </w:t>
      </w:r>
      <w:r w:rsidRPr="008D3956">
        <w:rPr>
          <w:rFonts w:ascii="Arial" w:eastAsia="Calibri" w:hAnsi="Arial" w:cs="Arial"/>
          <w:bCs/>
        </w:rPr>
        <w:t xml:space="preserve">Uzrok povećanju sredstava je činjenica da je Dubrovačko-neretvanska županija vodeći partner na projektu te da </w:t>
      </w:r>
      <w:r w:rsidRPr="008D3956">
        <w:rPr>
          <w:rFonts w:ascii="Arial" w:eastAsia="Calibri" w:hAnsi="Arial" w:cs="Arial"/>
          <w:bCs/>
        </w:rPr>
        <w:lastRenderedPageBreak/>
        <w:t xml:space="preserve">svi financijski prijenosi idu isključivo preko vodećeg partnera. Povećanje planiranih sredstava u ovogodišnjem županjskom Proračunu rezultat je uplaćenog pred financiranja za provedbu projektnih aktivnosti. Ministarstvo regionalnog razvoja i fondova EU Dubrovačko-neretvanskoj županiji uplatilo je ukupni iznos pred financiranja koji je, potom, raspoređen projektnim partnerima sukladno postotnom udjelu u projektnom proračunu, u skladu s Ugovorom o sufinanciranju projekta te Partnerskim sporazumom. </w:t>
      </w:r>
    </w:p>
    <w:p w14:paraId="42180B78" w14:textId="77777777" w:rsidR="008D3956" w:rsidRPr="008D3956" w:rsidRDefault="008D3956" w:rsidP="008D3956">
      <w:pPr>
        <w:shd w:val="clear" w:color="auto" w:fill="FFFFFF"/>
        <w:jc w:val="both"/>
        <w:rPr>
          <w:rFonts w:ascii="Arial" w:eastAsia="Calibri" w:hAnsi="Arial" w:cs="Arial"/>
          <w:bCs/>
        </w:rPr>
      </w:pPr>
      <w:r w:rsidRPr="008D3956">
        <w:rPr>
          <w:rFonts w:ascii="Arial" w:eastAsia="Calibri" w:hAnsi="Arial" w:cs="Arial"/>
          <w:b/>
        </w:rPr>
        <w:t xml:space="preserve">Povezanost programa sa strateškim dokumentima: </w:t>
      </w:r>
      <w:r w:rsidRPr="008D3956">
        <w:rPr>
          <w:rFonts w:ascii="Arial" w:eastAsia="Calibri" w:hAnsi="Arial" w:cs="Arial"/>
          <w:bCs/>
        </w:rPr>
        <w:t>Ovaj program doprinosi ostvarenju posebnih ciljeva Plana razvoja Dubrovačko-neretvanske županije do 2027,</w:t>
      </w:r>
      <w:r w:rsidRPr="008D3956">
        <w:rPr>
          <w:rFonts w:ascii="Arial" w:eastAsia="Calibri" w:hAnsi="Arial" w:cs="Arial"/>
        </w:rPr>
        <w:t xml:space="preserve"> Provedbeni program Dubrovačko-neretvanske županije za razdoblje do 2025. godine</w:t>
      </w:r>
      <w:r w:rsidRPr="008D3956">
        <w:rPr>
          <w:rFonts w:ascii="Arial" w:eastAsia="Calibri" w:hAnsi="Arial" w:cs="Arial"/>
          <w:bCs/>
        </w:rPr>
        <w:t xml:space="preserve"> Posebnog cilja 4.4. Razvoj ostalih geografskih područja od posebnog interesa, </w:t>
      </w:r>
      <w:r w:rsidRPr="008D3956">
        <w:rPr>
          <w:rFonts w:ascii="Arial" w:eastAsia="Calibri" w:hAnsi="Arial" w:cs="Arial"/>
        </w:rPr>
        <w:t>Mjera 4.4.3. Očuvanje okoliša te održivo upravljanje prirodnim i kulturnim vrijednostima,</w:t>
      </w:r>
    </w:p>
    <w:p w14:paraId="224F3E39" w14:textId="77777777" w:rsidR="00D92ECD" w:rsidRPr="008D3956" w:rsidRDefault="00D92ECD" w:rsidP="008B5F2A">
      <w:pPr>
        <w:shd w:val="clear" w:color="auto" w:fill="FFFFFF"/>
        <w:jc w:val="both"/>
        <w:rPr>
          <w:rFonts w:ascii="Arial" w:eastAsia="Calibri" w:hAnsi="Arial" w:cs="Arial"/>
          <w:bCs/>
        </w:rPr>
      </w:pPr>
    </w:p>
    <w:p w14:paraId="7E9360A2" w14:textId="2D0D2BA5" w:rsidR="0023662C" w:rsidRDefault="0023662C" w:rsidP="005D372A">
      <w:pPr>
        <w:shd w:val="clear" w:color="auto" w:fill="FFFFFF"/>
        <w:jc w:val="both"/>
        <w:rPr>
          <w:rFonts w:ascii="Arial" w:eastAsia="Calibri" w:hAnsi="Arial" w:cs="Arial"/>
          <w:b/>
          <w:bCs/>
          <w:sz w:val="22"/>
          <w:szCs w:val="22"/>
          <w:u w:val="single"/>
        </w:rPr>
      </w:pPr>
    </w:p>
    <w:p w14:paraId="6D5029B6" w14:textId="375D23FA" w:rsidR="008D3956" w:rsidRDefault="008D3956" w:rsidP="005D372A">
      <w:pPr>
        <w:shd w:val="clear" w:color="auto" w:fill="FFFFFF"/>
        <w:jc w:val="both"/>
        <w:rPr>
          <w:rFonts w:ascii="Arial" w:eastAsia="Calibri" w:hAnsi="Arial" w:cs="Arial"/>
          <w:b/>
          <w:bCs/>
          <w:sz w:val="22"/>
          <w:szCs w:val="22"/>
          <w:u w:val="single"/>
        </w:rPr>
      </w:pPr>
    </w:p>
    <w:p w14:paraId="0B3A0737" w14:textId="4C3370D8" w:rsidR="008D3956" w:rsidRDefault="008D3956" w:rsidP="005D372A">
      <w:pPr>
        <w:shd w:val="clear" w:color="auto" w:fill="FFFFFF"/>
        <w:jc w:val="both"/>
        <w:rPr>
          <w:rFonts w:ascii="Arial" w:eastAsia="Calibri" w:hAnsi="Arial" w:cs="Arial"/>
          <w:b/>
          <w:bCs/>
          <w:sz w:val="22"/>
          <w:szCs w:val="22"/>
          <w:u w:val="single"/>
        </w:rPr>
      </w:pPr>
    </w:p>
    <w:p w14:paraId="6C7CDA38" w14:textId="0CCC88B0" w:rsidR="008D3956" w:rsidRDefault="008D3956" w:rsidP="005D372A">
      <w:pPr>
        <w:shd w:val="clear" w:color="auto" w:fill="FFFFFF"/>
        <w:jc w:val="both"/>
        <w:rPr>
          <w:rFonts w:ascii="Arial" w:eastAsia="Calibri" w:hAnsi="Arial" w:cs="Arial"/>
          <w:b/>
          <w:bCs/>
          <w:sz w:val="22"/>
          <w:szCs w:val="22"/>
          <w:u w:val="single"/>
        </w:rPr>
      </w:pPr>
    </w:p>
    <w:p w14:paraId="1DA4829C" w14:textId="77777777" w:rsidR="008D3956" w:rsidRPr="008D3956" w:rsidRDefault="008D3956" w:rsidP="005D372A">
      <w:pPr>
        <w:shd w:val="clear" w:color="auto" w:fill="FFFFFF"/>
        <w:jc w:val="both"/>
        <w:rPr>
          <w:rFonts w:ascii="Arial" w:eastAsia="Calibri" w:hAnsi="Arial" w:cs="Arial"/>
          <w:b/>
          <w:bCs/>
          <w:sz w:val="22"/>
          <w:szCs w:val="22"/>
          <w:u w:val="single"/>
        </w:rPr>
      </w:pPr>
    </w:p>
    <w:p w14:paraId="7094145B" w14:textId="17750026" w:rsidR="008C7233" w:rsidRPr="008D3956" w:rsidRDefault="0023662C" w:rsidP="005D372A">
      <w:pPr>
        <w:shd w:val="clear" w:color="auto" w:fill="FFFFFF"/>
        <w:jc w:val="both"/>
        <w:rPr>
          <w:rFonts w:ascii="Arial" w:eastAsia="Calibri" w:hAnsi="Arial" w:cs="Arial"/>
          <w:b/>
          <w:bCs/>
          <w:sz w:val="22"/>
          <w:szCs w:val="22"/>
          <w:u w:val="single"/>
        </w:rPr>
      </w:pPr>
      <w:r w:rsidRPr="008D3956">
        <w:rPr>
          <w:rFonts w:ascii="Arial" w:eastAsia="Calibri" w:hAnsi="Arial" w:cs="Arial"/>
          <w:b/>
          <w:bCs/>
          <w:sz w:val="22"/>
          <w:szCs w:val="22"/>
          <w:u w:val="single"/>
        </w:rPr>
        <w:t>PROGRAM A101106 Zajednički troškovi upravnih tijela DNŽ</w:t>
      </w:r>
    </w:p>
    <w:p w14:paraId="7FDFD893" w14:textId="77777777" w:rsidR="00D31A68" w:rsidRPr="008D3956" w:rsidRDefault="00D31A68" w:rsidP="00D31A68">
      <w:pPr>
        <w:shd w:val="clear" w:color="auto" w:fill="FFFFFF"/>
        <w:jc w:val="both"/>
        <w:rPr>
          <w:rFonts w:ascii="Arial" w:hAnsi="Arial" w:cs="Arial"/>
        </w:rPr>
      </w:pPr>
    </w:p>
    <w:p w14:paraId="0A2A7698" w14:textId="77777777" w:rsidR="000658C3" w:rsidRPr="008D3956" w:rsidRDefault="000658C3" w:rsidP="000658C3">
      <w:pPr>
        <w:shd w:val="clear" w:color="auto" w:fill="FFFFFF"/>
        <w:jc w:val="both"/>
        <w:rPr>
          <w:rFonts w:ascii="Arial" w:hAnsi="Arial" w:cs="Arial"/>
        </w:rPr>
      </w:pPr>
    </w:p>
    <w:p w14:paraId="7EF0C101" w14:textId="7426F0E8" w:rsidR="00687631" w:rsidRPr="008D3956" w:rsidRDefault="00687631" w:rsidP="00687631">
      <w:pPr>
        <w:pBdr>
          <w:top w:val="single" w:sz="4" w:space="1" w:color="auto"/>
          <w:left w:val="single" w:sz="4" w:space="4" w:color="auto"/>
          <w:bottom w:val="single" w:sz="4" w:space="1" w:color="auto"/>
          <w:right w:val="single" w:sz="4" w:space="4" w:color="auto"/>
        </w:pBdr>
        <w:shd w:val="clear" w:color="auto" w:fill="DEEAF6"/>
        <w:jc w:val="both"/>
        <w:rPr>
          <w:rFonts w:ascii="Arial" w:hAnsi="Arial" w:cs="Arial"/>
          <w:b/>
        </w:rPr>
      </w:pPr>
      <w:bookmarkStart w:id="0" w:name="_Hlk103156916"/>
      <w:r w:rsidRPr="008D3956">
        <w:rPr>
          <w:rFonts w:ascii="Arial" w:hAnsi="Arial" w:cs="Arial"/>
          <w:b/>
        </w:rPr>
        <w:t xml:space="preserve">Aktivnost </w:t>
      </w:r>
      <w:r w:rsidR="0020242D" w:rsidRPr="008D3956">
        <w:rPr>
          <w:rFonts w:ascii="Arial" w:hAnsi="Arial" w:cs="Arial"/>
          <w:b/>
        </w:rPr>
        <w:t xml:space="preserve">A110601 </w:t>
      </w:r>
      <w:r w:rsidRPr="008D3956">
        <w:rPr>
          <w:rFonts w:ascii="Arial" w:hAnsi="Arial" w:cs="Arial"/>
          <w:b/>
        </w:rPr>
        <w:t>– Redovni rashodi upravnih tijela DNŽ</w:t>
      </w:r>
      <w:r w:rsidR="0020242D" w:rsidRPr="008D3956">
        <w:rPr>
          <w:rFonts w:ascii="Arial" w:hAnsi="Arial" w:cs="Arial"/>
          <w:b/>
        </w:rPr>
        <w:t xml:space="preserve">  +</w:t>
      </w:r>
      <w:r w:rsidR="00B11F50" w:rsidRPr="008D3956">
        <w:rPr>
          <w:rFonts w:ascii="Arial" w:hAnsi="Arial" w:cs="Arial"/>
          <w:b/>
        </w:rPr>
        <w:t xml:space="preserve"> </w:t>
      </w:r>
      <w:r w:rsidR="00D02C8D" w:rsidRPr="008D3956">
        <w:rPr>
          <w:rFonts w:ascii="Arial" w:hAnsi="Arial" w:cs="Arial"/>
          <w:b/>
        </w:rPr>
        <w:t>26</w:t>
      </w:r>
      <w:r w:rsidR="0020242D" w:rsidRPr="008D3956">
        <w:rPr>
          <w:rFonts w:ascii="Arial" w:hAnsi="Arial" w:cs="Arial"/>
          <w:b/>
        </w:rPr>
        <w:t>.</w:t>
      </w:r>
      <w:r w:rsidR="00D02C8D" w:rsidRPr="008D3956">
        <w:rPr>
          <w:rFonts w:ascii="Arial" w:hAnsi="Arial" w:cs="Arial"/>
          <w:b/>
        </w:rPr>
        <w:t>718</w:t>
      </w:r>
      <w:r w:rsidR="0020242D" w:rsidRPr="008D3956">
        <w:rPr>
          <w:rFonts w:ascii="Arial" w:hAnsi="Arial" w:cs="Arial"/>
          <w:b/>
        </w:rPr>
        <w:t>,</w:t>
      </w:r>
      <w:r w:rsidR="00D02C8D" w:rsidRPr="008D3956">
        <w:rPr>
          <w:rFonts w:ascii="Arial" w:hAnsi="Arial" w:cs="Arial"/>
          <w:b/>
        </w:rPr>
        <w:t>00 EUR</w:t>
      </w:r>
    </w:p>
    <w:p w14:paraId="5909C429" w14:textId="77777777" w:rsidR="00687631" w:rsidRPr="008D3956" w:rsidRDefault="00687631" w:rsidP="00687631">
      <w:pPr>
        <w:jc w:val="both"/>
        <w:rPr>
          <w:rFonts w:ascii="Arial" w:hAnsi="Arial" w:cs="Arial"/>
        </w:rPr>
      </w:pPr>
    </w:p>
    <w:p w14:paraId="75293002" w14:textId="6CD19A82" w:rsidR="00687631" w:rsidRPr="008D3956" w:rsidRDefault="00687631" w:rsidP="00687631">
      <w:pPr>
        <w:jc w:val="both"/>
        <w:rPr>
          <w:rFonts w:ascii="Arial" w:hAnsi="Arial" w:cs="Arial"/>
        </w:rPr>
      </w:pPr>
      <w:r w:rsidRPr="008D3956">
        <w:rPr>
          <w:rFonts w:ascii="Arial" w:hAnsi="Arial" w:cs="Arial"/>
        </w:rPr>
        <w:t xml:space="preserve">Iznos je povećan za </w:t>
      </w:r>
      <w:r w:rsidR="00D02C8D" w:rsidRPr="008D3956">
        <w:rPr>
          <w:rFonts w:ascii="Arial" w:hAnsi="Arial" w:cs="Arial"/>
        </w:rPr>
        <w:t>26.718,00</w:t>
      </w:r>
      <w:r w:rsidRPr="008D3956">
        <w:rPr>
          <w:rFonts w:ascii="Arial" w:hAnsi="Arial" w:cs="Arial"/>
        </w:rPr>
        <w:t xml:space="preserve"> EUR na </w:t>
      </w:r>
      <w:r w:rsidR="00052DE1" w:rsidRPr="008D3956">
        <w:rPr>
          <w:rFonts w:ascii="Arial" w:hAnsi="Arial" w:cs="Arial"/>
        </w:rPr>
        <w:t xml:space="preserve">odgovarajućim </w:t>
      </w:r>
      <w:r w:rsidRPr="008D3956">
        <w:rPr>
          <w:rFonts w:ascii="Arial" w:hAnsi="Arial" w:cs="Arial"/>
        </w:rPr>
        <w:t>stav</w:t>
      </w:r>
      <w:r w:rsidR="00871B20" w:rsidRPr="008D3956">
        <w:rPr>
          <w:rFonts w:ascii="Arial" w:hAnsi="Arial" w:cs="Arial"/>
        </w:rPr>
        <w:t>kama</w:t>
      </w:r>
      <w:r w:rsidRPr="008D3956">
        <w:rPr>
          <w:rFonts w:ascii="Arial" w:hAnsi="Arial" w:cs="Arial"/>
        </w:rPr>
        <w:t xml:space="preserve"> u skladu sa potrebama izvršenja aktivnosti. </w:t>
      </w:r>
    </w:p>
    <w:p w14:paraId="4823A540" w14:textId="77777777" w:rsidR="00687631" w:rsidRPr="008D3956" w:rsidRDefault="00687631" w:rsidP="00687631">
      <w:pPr>
        <w:jc w:val="both"/>
        <w:rPr>
          <w:rFonts w:ascii="Arial" w:hAnsi="Arial" w:cs="Arial"/>
        </w:rPr>
      </w:pPr>
      <w:r w:rsidRPr="008D3956">
        <w:rPr>
          <w:rFonts w:ascii="Arial" w:hAnsi="Arial" w:cs="Arial"/>
          <w:b/>
        </w:rPr>
        <w:t xml:space="preserve">Povezanost programa sa strateškim dokumentima: </w:t>
      </w:r>
      <w:r w:rsidRPr="008D3956">
        <w:rPr>
          <w:rFonts w:ascii="Arial" w:hAnsi="Arial" w:cs="Arial"/>
        </w:rPr>
        <w:t>Ovaj program doprinosi ostvarenju posebnih ciljeva Plana razvoja Dubrovačko-neretvanske županije do 2027,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034E6C13" w14:textId="1758BE25" w:rsidR="00221B19" w:rsidRPr="008D3956" w:rsidRDefault="00221B19" w:rsidP="00EA2B3A">
      <w:pPr>
        <w:jc w:val="both"/>
        <w:rPr>
          <w:rFonts w:ascii="Arial" w:hAnsi="Arial" w:cs="Arial"/>
        </w:rPr>
      </w:pPr>
    </w:p>
    <w:p w14:paraId="47E20E9B" w14:textId="77777777" w:rsidR="00221B19" w:rsidRPr="008D3956" w:rsidRDefault="00221B19" w:rsidP="00EA2B3A">
      <w:pPr>
        <w:jc w:val="both"/>
        <w:rPr>
          <w:rFonts w:ascii="Arial" w:hAnsi="Arial" w:cs="Arial"/>
        </w:rPr>
      </w:pPr>
    </w:p>
    <w:bookmarkEnd w:id="0"/>
    <w:p w14:paraId="3EA9E16E" w14:textId="4AABA8ED" w:rsidR="00687631" w:rsidRPr="008D3956" w:rsidRDefault="00D92ECD" w:rsidP="00687631">
      <w:pPr>
        <w:pBdr>
          <w:top w:val="single" w:sz="4" w:space="1" w:color="auto"/>
          <w:left w:val="single" w:sz="4" w:space="4" w:color="auto"/>
          <w:bottom w:val="single" w:sz="4" w:space="1" w:color="auto"/>
          <w:right w:val="single" w:sz="4" w:space="4" w:color="auto"/>
        </w:pBdr>
        <w:shd w:val="clear" w:color="auto" w:fill="DEEAF6"/>
        <w:jc w:val="both"/>
        <w:rPr>
          <w:rFonts w:ascii="Arial" w:hAnsi="Arial" w:cs="Arial"/>
          <w:b/>
        </w:rPr>
      </w:pPr>
      <w:r w:rsidRPr="008D3956">
        <w:rPr>
          <w:rFonts w:ascii="Arial" w:hAnsi="Arial" w:cs="Arial"/>
          <w:b/>
        </w:rPr>
        <w:t>Aktivnost</w:t>
      </w:r>
      <w:r w:rsidR="00687631" w:rsidRPr="008D3956">
        <w:rPr>
          <w:rFonts w:ascii="Arial" w:hAnsi="Arial" w:cs="Arial"/>
          <w:b/>
        </w:rPr>
        <w:t xml:space="preserve"> </w:t>
      </w:r>
      <w:r w:rsidR="00B11F50" w:rsidRPr="008D3956">
        <w:rPr>
          <w:rFonts w:ascii="Arial" w:hAnsi="Arial" w:cs="Arial"/>
          <w:b/>
        </w:rPr>
        <w:t xml:space="preserve">A110604 </w:t>
      </w:r>
      <w:r w:rsidR="00687631" w:rsidRPr="008D3956">
        <w:rPr>
          <w:rFonts w:ascii="Arial" w:hAnsi="Arial" w:cs="Arial"/>
          <w:b/>
        </w:rPr>
        <w:t>– Uređenje poslovnih prostora i nabava opreme za upravna tijela</w:t>
      </w:r>
      <w:r w:rsidR="00B11F50" w:rsidRPr="008D3956">
        <w:rPr>
          <w:rFonts w:ascii="Arial" w:hAnsi="Arial" w:cs="Arial"/>
          <w:b/>
        </w:rPr>
        <w:t xml:space="preserve">  </w:t>
      </w:r>
      <w:r w:rsidR="00D02C8D" w:rsidRPr="008D3956">
        <w:rPr>
          <w:rFonts w:ascii="Arial" w:hAnsi="Arial" w:cs="Arial"/>
          <w:b/>
        </w:rPr>
        <w:t>+</w:t>
      </w:r>
      <w:r w:rsidR="00B11F50" w:rsidRPr="008D3956">
        <w:rPr>
          <w:rFonts w:ascii="Arial" w:hAnsi="Arial" w:cs="Arial"/>
          <w:b/>
        </w:rPr>
        <w:t xml:space="preserve"> </w:t>
      </w:r>
      <w:r w:rsidR="00D02C8D" w:rsidRPr="008D3956">
        <w:rPr>
          <w:rFonts w:ascii="Arial" w:hAnsi="Arial" w:cs="Arial"/>
          <w:b/>
        </w:rPr>
        <w:t>3.200</w:t>
      </w:r>
      <w:r w:rsidR="00B11F50" w:rsidRPr="008D3956">
        <w:rPr>
          <w:rFonts w:ascii="Arial" w:hAnsi="Arial" w:cs="Arial"/>
          <w:b/>
        </w:rPr>
        <w:t>,</w:t>
      </w:r>
      <w:r w:rsidR="00D02C8D" w:rsidRPr="008D3956">
        <w:rPr>
          <w:rFonts w:ascii="Arial" w:hAnsi="Arial" w:cs="Arial"/>
          <w:b/>
        </w:rPr>
        <w:t>0</w:t>
      </w:r>
      <w:r w:rsidR="00B11F50" w:rsidRPr="008D3956">
        <w:rPr>
          <w:rFonts w:ascii="Arial" w:hAnsi="Arial" w:cs="Arial"/>
          <w:b/>
        </w:rPr>
        <w:t xml:space="preserve">0 </w:t>
      </w:r>
      <w:r w:rsidR="00D02C8D" w:rsidRPr="008D3956">
        <w:rPr>
          <w:rFonts w:ascii="Arial" w:hAnsi="Arial" w:cs="Arial"/>
          <w:b/>
        </w:rPr>
        <w:t>EUR</w:t>
      </w:r>
    </w:p>
    <w:p w14:paraId="163A0949" w14:textId="77777777" w:rsidR="00687631" w:rsidRPr="008D3956" w:rsidRDefault="00687631" w:rsidP="00687631">
      <w:pPr>
        <w:jc w:val="both"/>
        <w:rPr>
          <w:rFonts w:ascii="Arial" w:hAnsi="Arial" w:cs="Arial"/>
        </w:rPr>
      </w:pPr>
    </w:p>
    <w:p w14:paraId="47273CD4" w14:textId="77777777" w:rsidR="00D02C8D" w:rsidRPr="008D3956" w:rsidRDefault="00687631" w:rsidP="00D02C8D">
      <w:pPr>
        <w:jc w:val="both"/>
        <w:rPr>
          <w:rFonts w:ascii="Arial" w:hAnsi="Arial" w:cs="Arial"/>
        </w:rPr>
      </w:pPr>
      <w:r w:rsidRPr="008D3956">
        <w:rPr>
          <w:rFonts w:ascii="Arial" w:hAnsi="Arial" w:cs="Arial"/>
        </w:rPr>
        <w:t xml:space="preserve">Iznos je </w:t>
      </w:r>
      <w:r w:rsidR="00D02C8D" w:rsidRPr="008D3956">
        <w:rPr>
          <w:rFonts w:ascii="Arial" w:hAnsi="Arial" w:cs="Arial"/>
        </w:rPr>
        <w:t>povećan</w:t>
      </w:r>
      <w:r w:rsidRPr="008D3956">
        <w:rPr>
          <w:rFonts w:ascii="Arial" w:hAnsi="Arial" w:cs="Arial"/>
        </w:rPr>
        <w:t xml:space="preserve"> za </w:t>
      </w:r>
      <w:r w:rsidR="00D02C8D" w:rsidRPr="008D3956">
        <w:rPr>
          <w:rFonts w:ascii="Arial" w:hAnsi="Arial" w:cs="Arial"/>
        </w:rPr>
        <w:t>3</w:t>
      </w:r>
      <w:r w:rsidR="00052DE1" w:rsidRPr="008D3956">
        <w:rPr>
          <w:rFonts w:ascii="Arial" w:hAnsi="Arial" w:cs="Arial"/>
        </w:rPr>
        <w:t>.</w:t>
      </w:r>
      <w:r w:rsidR="00D02C8D" w:rsidRPr="008D3956">
        <w:rPr>
          <w:rFonts w:ascii="Arial" w:hAnsi="Arial" w:cs="Arial"/>
        </w:rPr>
        <w:t>200</w:t>
      </w:r>
      <w:r w:rsidRPr="008D3956">
        <w:rPr>
          <w:rFonts w:ascii="Arial" w:hAnsi="Arial" w:cs="Arial"/>
        </w:rPr>
        <w:t>,</w:t>
      </w:r>
      <w:r w:rsidR="00D02C8D" w:rsidRPr="008D3956">
        <w:rPr>
          <w:rFonts w:ascii="Arial" w:hAnsi="Arial" w:cs="Arial"/>
        </w:rPr>
        <w:t>0</w:t>
      </w:r>
      <w:r w:rsidR="00052DE1" w:rsidRPr="008D3956">
        <w:rPr>
          <w:rFonts w:ascii="Arial" w:hAnsi="Arial" w:cs="Arial"/>
        </w:rPr>
        <w:t>0</w:t>
      </w:r>
      <w:r w:rsidRPr="008D3956">
        <w:rPr>
          <w:rFonts w:ascii="Arial" w:hAnsi="Arial" w:cs="Arial"/>
        </w:rPr>
        <w:t xml:space="preserve"> EUR </w:t>
      </w:r>
      <w:r w:rsidR="00D02C8D" w:rsidRPr="008D3956">
        <w:rPr>
          <w:rFonts w:ascii="Arial" w:hAnsi="Arial" w:cs="Arial"/>
        </w:rPr>
        <w:t xml:space="preserve">u skladu sa potrebama izvršenja aktivnosti. </w:t>
      </w:r>
    </w:p>
    <w:p w14:paraId="7C5320B7" w14:textId="787F4FD9" w:rsidR="00687631" w:rsidRPr="008D3956" w:rsidRDefault="00687631" w:rsidP="00687631">
      <w:pPr>
        <w:jc w:val="both"/>
        <w:rPr>
          <w:rFonts w:ascii="Arial" w:hAnsi="Arial" w:cs="Arial"/>
        </w:rPr>
      </w:pPr>
      <w:r w:rsidRPr="008D3956">
        <w:rPr>
          <w:rFonts w:ascii="Arial" w:hAnsi="Arial" w:cs="Arial"/>
          <w:b/>
        </w:rPr>
        <w:t xml:space="preserve">Povezanost programa sa strateškim dokumentima: </w:t>
      </w:r>
      <w:r w:rsidRPr="008D3956">
        <w:rPr>
          <w:rFonts w:ascii="Arial" w:hAnsi="Arial" w:cs="Arial"/>
        </w:rPr>
        <w:t>Ovaj program doprinosi ostvarenju posebnih ciljeva Plana razvoja Dubrovačko-neretvanske županije do 2027,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3E471E8C" w14:textId="77777777" w:rsidR="00ED208C" w:rsidRPr="008D3956" w:rsidRDefault="00ED208C">
      <w:pPr>
        <w:rPr>
          <w:rFonts w:ascii="Arial" w:hAnsi="Arial" w:cs="Arial"/>
        </w:rPr>
      </w:pPr>
    </w:p>
    <w:p w14:paraId="6212DB17" w14:textId="77777777" w:rsidR="00ED208C" w:rsidRPr="008D3956" w:rsidRDefault="00ED208C" w:rsidP="00ED208C">
      <w:pPr>
        <w:rPr>
          <w:rFonts w:ascii="Arial" w:hAnsi="Arial" w:cs="Arial"/>
        </w:rPr>
      </w:pPr>
    </w:p>
    <w:p w14:paraId="1D88516E" w14:textId="77777777" w:rsidR="00ED208C" w:rsidRPr="008D3956" w:rsidRDefault="00ED208C" w:rsidP="00ED208C">
      <w:pPr>
        <w:rPr>
          <w:rFonts w:ascii="Arial" w:hAnsi="Arial" w:cs="Arial"/>
        </w:rPr>
      </w:pPr>
    </w:p>
    <w:sectPr w:rsidR="00ED208C" w:rsidRPr="008D3956" w:rsidSect="007F6BFE">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F01BD"/>
    <w:multiLevelType w:val="hybridMultilevel"/>
    <w:tmpl w:val="DF24F358"/>
    <w:lvl w:ilvl="0" w:tplc="4C90944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0355731"/>
    <w:multiLevelType w:val="hybridMultilevel"/>
    <w:tmpl w:val="D952990C"/>
    <w:lvl w:ilvl="0" w:tplc="4EC07A64">
      <w:start w:val="1"/>
      <w:numFmt w:val="decimal"/>
      <w:lvlText w:val="%1."/>
      <w:lvlJc w:val="left"/>
      <w:pPr>
        <w:ind w:left="360" w:hanging="360"/>
      </w:pPr>
      <w:rPr>
        <w:b/>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16cid:durableId="20647935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8257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Pagination" w:val="True"/>
    <w:docVar w:name="varZoom" w:val="200"/>
  </w:docVars>
  <w:rsids>
    <w:rsidRoot w:val="000658C3"/>
    <w:rsid w:val="00006278"/>
    <w:rsid w:val="00026F80"/>
    <w:rsid w:val="00037FE3"/>
    <w:rsid w:val="000409F1"/>
    <w:rsid w:val="000455AC"/>
    <w:rsid w:val="00052DE1"/>
    <w:rsid w:val="000658C3"/>
    <w:rsid w:val="000A4F3D"/>
    <w:rsid w:val="000C0B89"/>
    <w:rsid w:val="000E29EB"/>
    <w:rsid w:val="000F0173"/>
    <w:rsid w:val="00161E47"/>
    <w:rsid w:val="001849BB"/>
    <w:rsid w:val="001C4A4E"/>
    <w:rsid w:val="0020242D"/>
    <w:rsid w:val="00221B19"/>
    <w:rsid w:val="002224C6"/>
    <w:rsid w:val="0023662C"/>
    <w:rsid w:val="00236ED3"/>
    <w:rsid w:val="002427E3"/>
    <w:rsid w:val="00263817"/>
    <w:rsid w:val="002C5A76"/>
    <w:rsid w:val="002D6E95"/>
    <w:rsid w:val="00327642"/>
    <w:rsid w:val="003E7DD7"/>
    <w:rsid w:val="00427712"/>
    <w:rsid w:val="004407E4"/>
    <w:rsid w:val="00472031"/>
    <w:rsid w:val="00477A1C"/>
    <w:rsid w:val="004A2DC3"/>
    <w:rsid w:val="004B62B5"/>
    <w:rsid w:val="005867BC"/>
    <w:rsid w:val="005D372A"/>
    <w:rsid w:val="00615D1D"/>
    <w:rsid w:val="00635323"/>
    <w:rsid w:val="00650748"/>
    <w:rsid w:val="00666531"/>
    <w:rsid w:val="00687631"/>
    <w:rsid w:val="00694B88"/>
    <w:rsid w:val="006C72C5"/>
    <w:rsid w:val="006E6428"/>
    <w:rsid w:val="007176ED"/>
    <w:rsid w:val="00761F2F"/>
    <w:rsid w:val="007F4591"/>
    <w:rsid w:val="007F6BFE"/>
    <w:rsid w:val="00802FF9"/>
    <w:rsid w:val="00820B60"/>
    <w:rsid w:val="008465BA"/>
    <w:rsid w:val="00871B20"/>
    <w:rsid w:val="008B5CAA"/>
    <w:rsid w:val="008B5F2A"/>
    <w:rsid w:val="008C7233"/>
    <w:rsid w:val="008D3956"/>
    <w:rsid w:val="00904029"/>
    <w:rsid w:val="0091213A"/>
    <w:rsid w:val="009A0AD9"/>
    <w:rsid w:val="009E5045"/>
    <w:rsid w:val="009E7529"/>
    <w:rsid w:val="00AE1D0D"/>
    <w:rsid w:val="00AE4BC0"/>
    <w:rsid w:val="00B11F50"/>
    <w:rsid w:val="00B97F8F"/>
    <w:rsid w:val="00BB08F8"/>
    <w:rsid w:val="00BE6378"/>
    <w:rsid w:val="00BF0AFF"/>
    <w:rsid w:val="00C20C17"/>
    <w:rsid w:val="00C30A92"/>
    <w:rsid w:val="00C65D1B"/>
    <w:rsid w:val="00D02C8D"/>
    <w:rsid w:val="00D31A68"/>
    <w:rsid w:val="00D344A7"/>
    <w:rsid w:val="00D903F1"/>
    <w:rsid w:val="00D92ECD"/>
    <w:rsid w:val="00E06ADC"/>
    <w:rsid w:val="00E11763"/>
    <w:rsid w:val="00E43444"/>
    <w:rsid w:val="00E83C21"/>
    <w:rsid w:val="00E9425A"/>
    <w:rsid w:val="00EA2B3A"/>
    <w:rsid w:val="00EB6D0E"/>
    <w:rsid w:val="00ED20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CF45"/>
  <w15:chartTrackingRefBased/>
  <w15:docId w15:val="{6FBFAE6F-166C-4D8B-B000-9765234CC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B3A"/>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658C3"/>
    <w:pPr>
      <w:spacing w:after="0" w:line="240" w:lineRule="auto"/>
    </w:pPr>
    <w:rPr>
      <w:rFonts w:ascii="Times New Roman" w:eastAsia="Times New Roman" w:hAnsi="Times New Roman" w:cs="Times New Roman"/>
      <w:sz w:val="24"/>
      <w:szCs w:val="24"/>
      <w:lang w:eastAsia="hr-HR"/>
    </w:rPr>
  </w:style>
  <w:style w:type="character" w:customStyle="1" w:styleId="NoSpacingChar">
    <w:name w:val="No Spacing Char"/>
    <w:link w:val="NoSpacing"/>
    <w:uiPriority w:val="1"/>
    <w:locked/>
    <w:rsid w:val="000658C3"/>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E06ADC"/>
    <w:pPr>
      <w:ind w:left="720"/>
      <w:contextualSpacing/>
    </w:pPr>
  </w:style>
  <w:style w:type="character" w:customStyle="1" w:styleId="fontstyle01">
    <w:name w:val="fontstyle01"/>
    <w:basedOn w:val="DefaultParagraphFont"/>
    <w:rsid w:val="00161E47"/>
    <w:rPr>
      <w:rFonts w:ascii="MyriadPro-Regular" w:hAnsi="MyriadPro-Regular"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4209">
      <w:bodyDiv w:val="1"/>
      <w:marLeft w:val="0"/>
      <w:marRight w:val="0"/>
      <w:marTop w:val="0"/>
      <w:marBottom w:val="0"/>
      <w:divBdr>
        <w:top w:val="none" w:sz="0" w:space="0" w:color="auto"/>
        <w:left w:val="none" w:sz="0" w:space="0" w:color="auto"/>
        <w:bottom w:val="none" w:sz="0" w:space="0" w:color="auto"/>
        <w:right w:val="none" w:sz="0" w:space="0" w:color="auto"/>
      </w:divBdr>
    </w:div>
    <w:div w:id="126973929">
      <w:bodyDiv w:val="1"/>
      <w:marLeft w:val="0"/>
      <w:marRight w:val="0"/>
      <w:marTop w:val="0"/>
      <w:marBottom w:val="0"/>
      <w:divBdr>
        <w:top w:val="none" w:sz="0" w:space="0" w:color="auto"/>
        <w:left w:val="none" w:sz="0" w:space="0" w:color="auto"/>
        <w:bottom w:val="none" w:sz="0" w:space="0" w:color="auto"/>
        <w:right w:val="none" w:sz="0" w:space="0" w:color="auto"/>
      </w:divBdr>
    </w:div>
    <w:div w:id="150954400">
      <w:bodyDiv w:val="1"/>
      <w:marLeft w:val="0"/>
      <w:marRight w:val="0"/>
      <w:marTop w:val="0"/>
      <w:marBottom w:val="0"/>
      <w:divBdr>
        <w:top w:val="none" w:sz="0" w:space="0" w:color="auto"/>
        <w:left w:val="none" w:sz="0" w:space="0" w:color="auto"/>
        <w:bottom w:val="none" w:sz="0" w:space="0" w:color="auto"/>
        <w:right w:val="none" w:sz="0" w:space="0" w:color="auto"/>
      </w:divBdr>
    </w:div>
    <w:div w:id="258030218">
      <w:bodyDiv w:val="1"/>
      <w:marLeft w:val="0"/>
      <w:marRight w:val="0"/>
      <w:marTop w:val="0"/>
      <w:marBottom w:val="0"/>
      <w:divBdr>
        <w:top w:val="none" w:sz="0" w:space="0" w:color="auto"/>
        <w:left w:val="none" w:sz="0" w:space="0" w:color="auto"/>
        <w:bottom w:val="none" w:sz="0" w:space="0" w:color="auto"/>
        <w:right w:val="none" w:sz="0" w:space="0" w:color="auto"/>
      </w:divBdr>
    </w:div>
    <w:div w:id="302928410">
      <w:bodyDiv w:val="1"/>
      <w:marLeft w:val="0"/>
      <w:marRight w:val="0"/>
      <w:marTop w:val="0"/>
      <w:marBottom w:val="0"/>
      <w:divBdr>
        <w:top w:val="none" w:sz="0" w:space="0" w:color="auto"/>
        <w:left w:val="none" w:sz="0" w:space="0" w:color="auto"/>
        <w:bottom w:val="none" w:sz="0" w:space="0" w:color="auto"/>
        <w:right w:val="none" w:sz="0" w:space="0" w:color="auto"/>
      </w:divBdr>
    </w:div>
    <w:div w:id="313605878">
      <w:bodyDiv w:val="1"/>
      <w:marLeft w:val="0"/>
      <w:marRight w:val="0"/>
      <w:marTop w:val="0"/>
      <w:marBottom w:val="0"/>
      <w:divBdr>
        <w:top w:val="none" w:sz="0" w:space="0" w:color="auto"/>
        <w:left w:val="none" w:sz="0" w:space="0" w:color="auto"/>
        <w:bottom w:val="none" w:sz="0" w:space="0" w:color="auto"/>
        <w:right w:val="none" w:sz="0" w:space="0" w:color="auto"/>
      </w:divBdr>
    </w:div>
    <w:div w:id="314915162">
      <w:bodyDiv w:val="1"/>
      <w:marLeft w:val="0"/>
      <w:marRight w:val="0"/>
      <w:marTop w:val="0"/>
      <w:marBottom w:val="0"/>
      <w:divBdr>
        <w:top w:val="none" w:sz="0" w:space="0" w:color="auto"/>
        <w:left w:val="none" w:sz="0" w:space="0" w:color="auto"/>
        <w:bottom w:val="none" w:sz="0" w:space="0" w:color="auto"/>
        <w:right w:val="none" w:sz="0" w:space="0" w:color="auto"/>
      </w:divBdr>
    </w:div>
    <w:div w:id="315837218">
      <w:bodyDiv w:val="1"/>
      <w:marLeft w:val="0"/>
      <w:marRight w:val="0"/>
      <w:marTop w:val="0"/>
      <w:marBottom w:val="0"/>
      <w:divBdr>
        <w:top w:val="none" w:sz="0" w:space="0" w:color="auto"/>
        <w:left w:val="none" w:sz="0" w:space="0" w:color="auto"/>
        <w:bottom w:val="none" w:sz="0" w:space="0" w:color="auto"/>
        <w:right w:val="none" w:sz="0" w:space="0" w:color="auto"/>
      </w:divBdr>
    </w:div>
    <w:div w:id="344215497">
      <w:bodyDiv w:val="1"/>
      <w:marLeft w:val="0"/>
      <w:marRight w:val="0"/>
      <w:marTop w:val="0"/>
      <w:marBottom w:val="0"/>
      <w:divBdr>
        <w:top w:val="none" w:sz="0" w:space="0" w:color="auto"/>
        <w:left w:val="none" w:sz="0" w:space="0" w:color="auto"/>
        <w:bottom w:val="none" w:sz="0" w:space="0" w:color="auto"/>
        <w:right w:val="none" w:sz="0" w:space="0" w:color="auto"/>
      </w:divBdr>
    </w:div>
    <w:div w:id="367341124">
      <w:bodyDiv w:val="1"/>
      <w:marLeft w:val="0"/>
      <w:marRight w:val="0"/>
      <w:marTop w:val="0"/>
      <w:marBottom w:val="0"/>
      <w:divBdr>
        <w:top w:val="none" w:sz="0" w:space="0" w:color="auto"/>
        <w:left w:val="none" w:sz="0" w:space="0" w:color="auto"/>
        <w:bottom w:val="none" w:sz="0" w:space="0" w:color="auto"/>
        <w:right w:val="none" w:sz="0" w:space="0" w:color="auto"/>
      </w:divBdr>
    </w:div>
    <w:div w:id="471337958">
      <w:bodyDiv w:val="1"/>
      <w:marLeft w:val="0"/>
      <w:marRight w:val="0"/>
      <w:marTop w:val="0"/>
      <w:marBottom w:val="0"/>
      <w:divBdr>
        <w:top w:val="none" w:sz="0" w:space="0" w:color="auto"/>
        <w:left w:val="none" w:sz="0" w:space="0" w:color="auto"/>
        <w:bottom w:val="none" w:sz="0" w:space="0" w:color="auto"/>
        <w:right w:val="none" w:sz="0" w:space="0" w:color="auto"/>
      </w:divBdr>
    </w:div>
    <w:div w:id="504442345">
      <w:bodyDiv w:val="1"/>
      <w:marLeft w:val="0"/>
      <w:marRight w:val="0"/>
      <w:marTop w:val="0"/>
      <w:marBottom w:val="0"/>
      <w:divBdr>
        <w:top w:val="none" w:sz="0" w:space="0" w:color="auto"/>
        <w:left w:val="none" w:sz="0" w:space="0" w:color="auto"/>
        <w:bottom w:val="none" w:sz="0" w:space="0" w:color="auto"/>
        <w:right w:val="none" w:sz="0" w:space="0" w:color="auto"/>
      </w:divBdr>
    </w:div>
    <w:div w:id="555360466">
      <w:bodyDiv w:val="1"/>
      <w:marLeft w:val="0"/>
      <w:marRight w:val="0"/>
      <w:marTop w:val="0"/>
      <w:marBottom w:val="0"/>
      <w:divBdr>
        <w:top w:val="none" w:sz="0" w:space="0" w:color="auto"/>
        <w:left w:val="none" w:sz="0" w:space="0" w:color="auto"/>
        <w:bottom w:val="none" w:sz="0" w:space="0" w:color="auto"/>
        <w:right w:val="none" w:sz="0" w:space="0" w:color="auto"/>
      </w:divBdr>
    </w:div>
    <w:div w:id="621350419">
      <w:bodyDiv w:val="1"/>
      <w:marLeft w:val="0"/>
      <w:marRight w:val="0"/>
      <w:marTop w:val="0"/>
      <w:marBottom w:val="0"/>
      <w:divBdr>
        <w:top w:val="none" w:sz="0" w:space="0" w:color="auto"/>
        <w:left w:val="none" w:sz="0" w:space="0" w:color="auto"/>
        <w:bottom w:val="none" w:sz="0" w:space="0" w:color="auto"/>
        <w:right w:val="none" w:sz="0" w:space="0" w:color="auto"/>
      </w:divBdr>
    </w:div>
    <w:div w:id="676153830">
      <w:bodyDiv w:val="1"/>
      <w:marLeft w:val="0"/>
      <w:marRight w:val="0"/>
      <w:marTop w:val="0"/>
      <w:marBottom w:val="0"/>
      <w:divBdr>
        <w:top w:val="none" w:sz="0" w:space="0" w:color="auto"/>
        <w:left w:val="none" w:sz="0" w:space="0" w:color="auto"/>
        <w:bottom w:val="none" w:sz="0" w:space="0" w:color="auto"/>
        <w:right w:val="none" w:sz="0" w:space="0" w:color="auto"/>
      </w:divBdr>
    </w:div>
    <w:div w:id="762266944">
      <w:bodyDiv w:val="1"/>
      <w:marLeft w:val="0"/>
      <w:marRight w:val="0"/>
      <w:marTop w:val="0"/>
      <w:marBottom w:val="0"/>
      <w:divBdr>
        <w:top w:val="none" w:sz="0" w:space="0" w:color="auto"/>
        <w:left w:val="none" w:sz="0" w:space="0" w:color="auto"/>
        <w:bottom w:val="none" w:sz="0" w:space="0" w:color="auto"/>
        <w:right w:val="none" w:sz="0" w:space="0" w:color="auto"/>
      </w:divBdr>
    </w:div>
    <w:div w:id="788015466">
      <w:bodyDiv w:val="1"/>
      <w:marLeft w:val="0"/>
      <w:marRight w:val="0"/>
      <w:marTop w:val="0"/>
      <w:marBottom w:val="0"/>
      <w:divBdr>
        <w:top w:val="none" w:sz="0" w:space="0" w:color="auto"/>
        <w:left w:val="none" w:sz="0" w:space="0" w:color="auto"/>
        <w:bottom w:val="none" w:sz="0" w:space="0" w:color="auto"/>
        <w:right w:val="none" w:sz="0" w:space="0" w:color="auto"/>
      </w:divBdr>
    </w:div>
    <w:div w:id="870188000">
      <w:bodyDiv w:val="1"/>
      <w:marLeft w:val="0"/>
      <w:marRight w:val="0"/>
      <w:marTop w:val="0"/>
      <w:marBottom w:val="0"/>
      <w:divBdr>
        <w:top w:val="none" w:sz="0" w:space="0" w:color="auto"/>
        <w:left w:val="none" w:sz="0" w:space="0" w:color="auto"/>
        <w:bottom w:val="none" w:sz="0" w:space="0" w:color="auto"/>
        <w:right w:val="none" w:sz="0" w:space="0" w:color="auto"/>
      </w:divBdr>
    </w:div>
    <w:div w:id="876746687">
      <w:bodyDiv w:val="1"/>
      <w:marLeft w:val="0"/>
      <w:marRight w:val="0"/>
      <w:marTop w:val="0"/>
      <w:marBottom w:val="0"/>
      <w:divBdr>
        <w:top w:val="none" w:sz="0" w:space="0" w:color="auto"/>
        <w:left w:val="none" w:sz="0" w:space="0" w:color="auto"/>
        <w:bottom w:val="none" w:sz="0" w:space="0" w:color="auto"/>
        <w:right w:val="none" w:sz="0" w:space="0" w:color="auto"/>
      </w:divBdr>
    </w:div>
    <w:div w:id="984512150">
      <w:bodyDiv w:val="1"/>
      <w:marLeft w:val="0"/>
      <w:marRight w:val="0"/>
      <w:marTop w:val="0"/>
      <w:marBottom w:val="0"/>
      <w:divBdr>
        <w:top w:val="none" w:sz="0" w:space="0" w:color="auto"/>
        <w:left w:val="none" w:sz="0" w:space="0" w:color="auto"/>
        <w:bottom w:val="none" w:sz="0" w:space="0" w:color="auto"/>
        <w:right w:val="none" w:sz="0" w:space="0" w:color="auto"/>
      </w:divBdr>
    </w:div>
    <w:div w:id="985285296">
      <w:bodyDiv w:val="1"/>
      <w:marLeft w:val="0"/>
      <w:marRight w:val="0"/>
      <w:marTop w:val="0"/>
      <w:marBottom w:val="0"/>
      <w:divBdr>
        <w:top w:val="none" w:sz="0" w:space="0" w:color="auto"/>
        <w:left w:val="none" w:sz="0" w:space="0" w:color="auto"/>
        <w:bottom w:val="none" w:sz="0" w:space="0" w:color="auto"/>
        <w:right w:val="none" w:sz="0" w:space="0" w:color="auto"/>
      </w:divBdr>
    </w:div>
    <w:div w:id="1010716714">
      <w:bodyDiv w:val="1"/>
      <w:marLeft w:val="0"/>
      <w:marRight w:val="0"/>
      <w:marTop w:val="0"/>
      <w:marBottom w:val="0"/>
      <w:divBdr>
        <w:top w:val="none" w:sz="0" w:space="0" w:color="auto"/>
        <w:left w:val="none" w:sz="0" w:space="0" w:color="auto"/>
        <w:bottom w:val="none" w:sz="0" w:space="0" w:color="auto"/>
        <w:right w:val="none" w:sz="0" w:space="0" w:color="auto"/>
      </w:divBdr>
    </w:div>
    <w:div w:id="1063258906">
      <w:bodyDiv w:val="1"/>
      <w:marLeft w:val="0"/>
      <w:marRight w:val="0"/>
      <w:marTop w:val="0"/>
      <w:marBottom w:val="0"/>
      <w:divBdr>
        <w:top w:val="none" w:sz="0" w:space="0" w:color="auto"/>
        <w:left w:val="none" w:sz="0" w:space="0" w:color="auto"/>
        <w:bottom w:val="none" w:sz="0" w:space="0" w:color="auto"/>
        <w:right w:val="none" w:sz="0" w:space="0" w:color="auto"/>
      </w:divBdr>
    </w:div>
    <w:div w:id="1110390820">
      <w:bodyDiv w:val="1"/>
      <w:marLeft w:val="0"/>
      <w:marRight w:val="0"/>
      <w:marTop w:val="0"/>
      <w:marBottom w:val="0"/>
      <w:divBdr>
        <w:top w:val="none" w:sz="0" w:space="0" w:color="auto"/>
        <w:left w:val="none" w:sz="0" w:space="0" w:color="auto"/>
        <w:bottom w:val="none" w:sz="0" w:space="0" w:color="auto"/>
        <w:right w:val="none" w:sz="0" w:space="0" w:color="auto"/>
      </w:divBdr>
    </w:div>
    <w:div w:id="1133252026">
      <w:bodyDiv w:val="1"/>
      <w:marLeft w:val="0"/>
      <w:marRight w:val="0"/>
      <w:marTop w:val="0"/>
      <w:marBottom w:val="0"/>
      <w:divBdr>
        <w:top w:val="none" w:sz="0" w:space="0" w:color="auto"/>
        <w:left w:val="none" w:sz="0" w:space="0" w:color="auto"/>
        <w:bottom w:val="none" w:sz="0" w:space="0" w:color="auto"/>
        <w:right w:val="none" w:sz="0" w:space="0" w:color="auto"/>
      </w:divBdr>
    </w:div>
    <w:div w:id="1179392696">
      <w:bodyDiv w:val="1"/>
      <w:marLeft w:val="0"/>
      <w:marRight w:val="0"/>
      <w:marTop w:val="0"/>
      <w:marBottom w:val="0"/>
      <w:divBdr>
        <w:top w:val="none" w:sz="0" w:space="0" w:color="auto"/>
        <w:left w:val="none" w:sz="0" w:space="0" w:color="auto"/>
        <w:bottom w:val="none" w:sz="0" w:space="0" w:color="auto"/>
        <w:right w:val="none" w:sz="0" w:space="0" w:color="auto"/>
      </w:divBdr>
    </w:div>
    <w:div w:id="1204058130">
      <w:bodyDiv w:val="1"/>
      <w:marLeft w:val="0"/>
      <w:marRight w:val="0"/>
      <w:marTop w:val="0"/>
      <w:marBottom w:val="0"/>
      <w:divBdr>
        <w:top w:val="none" w:sz="0" w:space="0" w:color="auto"/>
        <w:left w:val="none" w:sz="0" w:space="0" w:color="auto"/>
        <w:bottom w:val="none" w:sz="0" w:space="0" w:color="auto"/>
        <w:right w:val="none" w:sz="0" w:space="0" w:color="auto"/>
      </w:divBdr>
    </w:div>
    <w:div w:id="1229733052">
      <w:bodyDiv w:val="1"/>
      <w:marLeft w:val="0"/>
      <w:marRight w:val="0"/>
      <w:marTop w:val="0"/>
      <w:marBottom w:val="0"/>
      <w:divBdr>
        <w:top w:val="none" w:sz="0" w:space="0" w:color="auto"/>
        <w:left w:val="none" w:sz="0" w:space="0" w:color="auto"/>
        <w:bottom w:val="none" w:sz="0" w:space="0" w:color="auto"/>
        <w:right w:val="none" w:sz="0" w:space="0" w:color="auto"/>
      </w:divBdr>
    </w:div>
    <w:div w:id="1261907753">
      <w:bodyDiv w:val="1"/>
      <w:marLeft w:val="0"/>
      <w:marRight w:val="0"/>
      <w:marTop w:val="0"/>
      <w:marBottom w:val="0"/>
      <w:divBdr>
        <w:top w:val="none" w:sz="0" w:space="0" w:color="auto"/>
        <w:left w:val="none" w:sz="0" w:space="0" w:color="auto"/>
        <w:bottom w:val="none" w:sz="0" w:space="0" w:color="auto"/>
        <w:right w:val="none" w:sz="0" w:space="0" w:color="auto"/>
      </w:divBdr>
    </w:div>
    <w:div w:id="1358778484">
      <w:bodyDiv w:val="1"/>
      <w:marLeft w:val="0"/>
      <w:marRight w:val="0"/>
      <w:marTop w:val="0"/>
      <w:marBottom w:val="0"/>
      <w:divBdr>
        <w:top w:val="none" w:sz="0" w:space="0" w:color="auto"/>
        <w:left w:val="none" w:sz="0" w:space="0" w:color="auto"/>
        <w:bottom w:val="none" w:sz="0" w:space="0" w:color="auto"/>
        <w:right w:val="none" w:sz="0" w:space="0" w:color="auto"/>
      </w:divBdr>
    </w:div>
    <w:div w:id="1609851302">
      <w:bodyDiv w:val="1"/>
      <w:marLeft w:val="0"/>
      <w:marRight w:val="0"/>
      <w:marTop w:val="0"/>
      <w:marBottom w:val="0"/>
      <w:divBdr>
        <w:top w:val="none" w:sz="0" w:space="0" w:color="auto"/>
        <w:left w:val="none" w:sz="0" w:space="0" w:color="auto"/>
        <w:bottom w:val="none" w:sz="0" w:space="0" w:color="auto"/>
        <w:right w:val="none" w:sz="0" w:space="0" w:color="auto"/>
      </w:divBdr>
    </w:div>
    <w:div w:id="1646423076">
      <w:bodyDiv w:val="1"/>
      <w:marLeft w:val="0"/>
      <w:marRight w:val="0"/>
      <w:marTop w:val="0"/>
      <w:marBottom w:val="0"/>
      <w:divBdr>
        <w:top w:val="none" w:sz="0" w:space="0" w:color="auto"/>
        <w:left w:val="none" w:sz="0" w:space="0" w:color="auto"/>
        <w:bottom w:val="none" w:sz="0" w:space="0" w:color="auto"/>
        <w:right w:val="none" w:sz="0" w:space="0" w:color="auto"/>
      </w:divBdr>
    </w:div>
    <w:div w:id="1779644424">
      <w:bodyDiv w:val="1"/>
      <w:marLeft w:val="0"/>
      <w:marRight w:val="0"/>
      <w:marTop w:val="0"/>
      <w:marBottom w:val="0"/>
      <w:divBdr>
        <w:top w:val="none" w:sz="0" w:space="0" w:color="auto"/>
        <w:left w:val="none" w:sz="0" w:space="0" w:color="auto"/>
        <w:bottom w:val="none" w:sz="0" w:space="0" w:color="auto"/>
        <w:right w:val="none" w:sz="0" w:space="0" w:color="auto"/>
      </w:divBdr>
    </w:div>
    <w:div w:id="1828549798">
      <w:bodyDiv w:val="1"/>
      <w:marLeft w:val="0"/>
      <w:marRight w:val="0"/>
      <w:marTop w:val="0"/>
      <w:marBottom w:val="0"/>
      <w:divBdr>
        <w:top w:val="none" w:sz="0" w:space="0" w:color="auto"/>
        <w:left w:val="none" w:sz="0" w:space="0" w:color="auto"/>
        <w:bottom w:val="none" w:sz="0" w:space="0" w:color="auto"/>
        <w:right w:val="none" w:sz="0" w:space="0" w:color="auto"/>
      </w:divBdr>
    </w:div>
    <w:div w:id="1853495071">
      <w:bodyDiv w:val="1"/>
      <w:marLeft w:val="0"/>
      <w:marRight w:val="0"/>
      <w:marTop w:val="0"/>
      <w:marBottom w:val="0"/>
      <w:divBdr>
        <w:top w:val="none" w:sz="0" w:space="0" w:color="auto"/>
        <w:left w:val="none" w:sz="0" w:space="0" w:color="auto"/>
        <w:bottom w:val="none" w:sz="0" w:space="0" w:color="auto"/>
        <w:right w:val="none" w:sz="0" w:space="0" w:color="auto"/>
      </w:divBdr>
    </w:div>
    <w:div w:id="1922180902">
      <w:bodyDiv w:val="1"/>
      <w:marLeft w:val="0"/>
      <w:marRight w:val="0"/>
      <w:marTop w:val="0"/>
      <w:marBottom w:val="0"/>
      <w:divBdr>
        <w:top w:val="none" w:sz="0" w:space="0" w:color="auto"/>
        <w:left w:val="none" w:sz="0" w:space="0" w:color="auto"/>
        <w:bottom w:val="none" w:sz="0" w:space="0" w:color="auto"/>
        <w:right w:val="none" w:sz="0" w:space="0" w:color="auto"/>
      </w:divBdr>
    </w:div>
    <w:div w:id="1960330808">
      <w:bodyDiv w:val="1"/>
      <w:marLeft w:val="0"/>
      <w:marRight w:val="0"/>
      <w:marTop w:val="0"/>
      <w:marBottom w:val="0"/>
      <w:divBdr>
        <w:top w:val="none" w:sz="0" w:space="0" w:color="auto"/>
        <w:left w:val="none" w:sz="0" w:space="0" w:color="auto"/>
        <w:bottom w:val="none" w:sz="0" w:space="0" w:color="auto"/>
        <w:right w:val="none" w:sz="0" w:space="0" w:color="auto"/>
      </w:divBdr>
    </w:div>
    <w:div w:id="2009288462">
      <w:bodyDiv w:val="1"/>
      <w:marLeft w:val="0"/>
      <w:marRight w:val="0"/>
      <w:marTop w:val="0"/>
      <w:marBottom w:val="0"/>
      <w:divBdr>
        <w:top w:val="none" w:sz="0" w:space="0" w:color="auto"/>
        <w:left w:val="none" w:sz="0" w:space="0" w:color="auto"/>
        <w:bottom w:val="none" w:sz="0" w:space="0" w:color="auto"/>
        <w:right w:val="none" w:sz="0" w:space="0" w:color="auto"/>
      </w:divBdr>
    </w:div>
    <w:div w:id="201302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MARIJA</cp:lastModifiedBy>
  <cp:revision>5</cp:revision>
  <dcterms:created xsi:type="dcterms:W3CDTF">2024-12-02T09:57:00Z</dcterms:created>
  <dcterms:modified xsi:type="dcterms:W3CDTF">2024-12-02T10:57:00Z</dcterms:modified>
</cp:coreProperties>
</file>