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FDDB5" w14:textId="32109485" w:rsidR="000554F6" w:rsidRDefault="00271354" w:rsidP="0085361A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  <w:r w:rsidRPr="00CD121A">
        <w:rPr>
          <w:rFonts w:cs="Calibri"/>
          <w:b/>
          <w:sz w:val="24"/>
          <w:szCs w:val="24"/>
        </w:rPr>
        <w:t xml:space="preserve">OBRAZLOŽENJE </w:t>
      </w:r>
      <w:r w:rsidR="009305EF">
        <w:rPr>
          <w:rFonts w:cs="Calibri"/>
          <w:b/>
          <w:sz w:val="24"/>
          <w:szCs w:val="24"/>
        </w:rPr>
        <w:t>I</w:t>
      </w:r>
      <w:r w:rsidR="0010584B">
        <w:rPr>
          <w:rFonts w:cs="Calibri"/>
          <w:b/>
          <w:sz w:val="24"/>
          <w:szCs w:val="24"/>
        </w:rPr>
        <w:t>I</w:t>
      </w:r>
      <w:r w:rsidR="00F22A99">
        <w:rPr>
          <w:rFonts w:cs="Calibri"/>
          <w:b/>
          <w:sz w:val="24"/>
          <w:szCs w:val="24"/>
        </w:rPr>
        <w:t>.</w:t>
      </w:r>
      <w:r w:rsidR="0099732E">
        <w:rPr>
          <w:rFonts w:cs="Calibri"/>
          <w:b/>
          <w:sz w:val="24"/>
          <w:szCs w:val="24"/>
        </w:rPr>
        <w:t xml:space="preserve"> IZMJENE I DOPUNE</w:t>
      </w:r>
      <w:r w:rsidR="00266222">
        <w:rPr>
          <w:rFonts w:cs="Calibri"/>
          <w:b/>
          <w:sz w:val="24"/>
          <w:szCs w:val="24"/>
        </w:rPr>
        <w:t xml:space="preserve"> </w:t>
      </w:r>
      <w:r w:rsidRPr="00CD121A">
        <w:rPr>
          <w:rFonts w:cs="Calibri"/>
          <w:b/>
          <w:sz w:val="24"/>
          <w:szCs w:val="24"/>
        </w:rPr>
        <w:t>PRORAČUNA DUBROVA</w:t>
      </w:r>
      <w:r w:rsidR="00D44DDA" w:rsidRPr="00CD121A">
        <w:rPr>
          <w:rFonts w:cs="Calibri"/>
          <w:b/>
          <w:sz w:val="24"/>
          <w:szCs w:val="24"/>
        </w:rPr>
        <w:t>ČKO-NERETVANSKE ŽUPANIJE</w:t>
      </w:r>
      <w:r w:rsidR="00FA55E7">
        <w:rPr>
          <w:rFonts w:cs="Calibri"/>
          <w:b/>
          <w:sz w:val="24"/>
          <w:szCs w:val="24"/>
        </w:rPr>
        <w:t xml:space="preserve"> ZA 2024</w:t>
      </w:r>
      <w:r w:rsidR="000554F6">
        <w:rPr>
          <w:rFonts w:cs="Calibri"/>
          <w:b/>
          <w:sz w:val="24"/>
          <w:szCs w:val="24"/>
        </w:rPr>
        <w:t>. GODINU</w:t>
      </w:r>
    </w:p>
    <w:p w14:paraId="09395D1F" w14:textId="76FD1153" w:rsidR="00271354" w:rsidRPr="00CD121A" w:rsidRDefault="00D44DDA" w:rsidP="0085361A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  <w:r w:rsidRPr="00CD121A">
        <w:rPr>
          <w:rFonts w:cs="Calibri"/>
          <w:b/>
          <w:sz w:val="24"/>
          <w:szCs w:val="24"/>
        </w:rPr>
        <w:t xml:space="preserve"> </w:t>
      </w:r>
      <w:r w:rsidR="00CA0671">
        <w:rPr>
          <w:rFonts w:cs="Calibri"/>
          <w:b/>
          <w:sz w:val="24"/>
          <w:szCs w:val="24"/>
        </w:rPr>
        <w:t>UPRAVNOG ODJELA ZA PROSTORNO UREĐENJE I GRADNJU</w:t>
      </w:r>
      <w:r w:rsidR="00161353" w:rsidRPr="00CD121A">
        <w:rPr>
          <w:rFonts w:cs="Calibri"/>
          <w:b/>
          <w:sz w:val="24"/>
          <w:szCs w:val="24"/>
        </w:rPr>
        <w:t xml:space="preserve"> </w:t>
      </w:r>
    </w:p>
    <w:p w14:paraId="78B6252E" w14:textId="77777777" w:rsidR="00153F64" w:rsidRPr="00CD121A" w:rsidRDefault="00153F64" w:rsidP="0085361A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</w:p>
    <w:p w14:paraId="7EBD5B61" w14:textId="77777777" w:rsidR="00271354" w:rsidRPr="00CD121A" w:rsidRDefault="00271354" w:rsidP="0085361A">
      <w:pPr>
        <w:pStyle w:val="NoSpacing"/>
        <w:shd w:val="clear" w:color="auto" w:fill="FFFFFF"/>
        <w:rPr>
          <w:rFonts w:cs="Calibri"/>
          <w:b/>
          <w:sz w:val="24"/>
          <w:szCs w:val="24"/>
        </w:rPr>
      </w:pPr>
    </w:p>
    <w:tbl>
      <w:tblPr>
        <w:tblW w:w="9872" w:type="dxa"/>
        <w:tblInd w:w="-34" w:type="dxa"/>
        <w:tblLook w:val="04A0" w:firstRow="1" w:lastRow="0" w:firstColumn="1" w:lastColumn="0" w:noHBand="0" w:noVBand="1"/>
      </w:tblPr>
      <w:tblGrid>
        <w:gridCol w:w="9656"/>
        <w:gridCol w:w="222"/>
      </w:tblGrid>
      <w:tr w:rsidR="00690E35" w:rsidRPr="00690E35" w14:paraId="63B07E7D" w14:textId="77777777" w:rsidTr="00062155">
        <w:trPr>
          <w:trHeight w:val="300"/>
        </w:trPr>
        <w:tc>
          <w:tcPr>
            <w:tcW w:w="9872" w:type="dxa"/>
            <w:gridSpan w:val="2"/>
            <w:shd w:val="clear" w:color="auto" w:fill="auto"/>
            <w:noWrap/>
          </w:tcPr>
          <w:tbl>
            <w:tblPr>
              <w:tblW w:w="9656" w:type="dxa"/>
              <w:tblLook w:val="04A0" w:firstRow="1" w:lastRow="0" w:firstColumn="1" w:lastColumn="0" w:noHBand="0" w:noVBand="1"/>
            </w:tblPr>
            <w:tblGrid>
              <w:gridCol w:w="2832"/>
              <w:gridCol w:w="6824"/>
            </w:tblGrid>
            <w:tr w:rsidR="00964D57" w:rsidRPr="00690E35" w14:paraId="3ADC6C91" w14:textId="77777777" w:rsidTr="00C870F5">
              <w:trPr>
                <w:trHeight w:val="153"/>
              </w:trPr>
              <w:tc>
                <w:tcPr>
                  <w:tcW w:w="9656" w:type="dxa"/>
                  <w:gridSpan w:val="2"/>
                  <w:shd w:val="clear" w:color="auto" w:fill="auto"/>
                  <w:noWrap/>
                  <w:vAlign w:val="bottom"/>
                </w:tcPr>
                <w:p w14:paraId="41679A3D" w14:textId="77777777" w:rsidR="008D0137" w:rsidRPr="00690E35" w:rsidRDefault="008D0137" w:rsidP="00ED1F52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  <w:p w14:paraId="3E94F5B2" w14:textId="77777777" w:rsidR="008D0137" w:rsidRDefault="00CA0671" w:rsidP="00CA0671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GLAVA </w:t>
                  </w:r>
                  <w:r w:rsidR="009305EF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10401</w:t>
                  </w: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UPRAVNI ODJEL ZA PROSTORNO UREĐENJE I GRADNJU </w:t>
                  </w:r>
                </w:p>
                <w:p w14:paraId="73A277D7" w14:textId="77777777" w:rsidR="00563F8C" w:rsidRPr="00690E35" w:rsidRDefault="00563F8C" w:rsidP="00CA0671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</w:tc>
            </w:tr>
            <w:tr w:rsidR="009B7B9E" w:rsidRPr="00690E35" w14:paraId="08D3D431" w14:textId="77777777" w:rsidTr="00C870F5">
              <w:trPr>
                <w:trHeight w:val="130"/>
              </w:trPr>
              <w:tc>
                <w:tcPr>
                  <w:tcW w:w="9656" w:type="dxa"/>
                  <w:gridSpan w:val="2"/>
                  <w:shd w:val="clear" w:color="auto" w:fill="auto"/>
                  <w:vAlign w:val="bottom"/>
                  <w:hideMark/>
                </w:tcPr>
                <w:p w14:paraId="353DBB16" w14:textId="77777777" w:rsidR="004A66A5" w:rsidRDefault="00CA0671" w:rsidP="00ED1F52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Program </w:t>
                  </w:r>
                  <w:r w:rsidR="009305EF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1400</w:t>
                  </w: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– Program građenja</w:t>
                  </w:r>
                </w:p>
                <w:p w14:paraId="1C3F0E9D" w14:textId="77777777" w:rsidR="00F36690" w:rsidRDefault="00F36690" w:rsidP="00F36690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  <w:p w14:paraId="3A206BC9" w14:textId="77777777" w:rsidR="00F36690" w:rsidRPr="00690E35" w:rsidRDefault="00F36690" w:rsidP="00ED1F52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</w:tc>
            </w:tr>
            <w:tr w:rsidR="00563F8C" w:rsidRPr="00690E35" w14:paraId="55D7D43A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vAlign w:val="bottom"/>
                </w:tcPr>
                <w:p w14:paraId="41800AEE" w14:textId="77777777" w:rsidR="002F274D" w:rsidRPr="00690E35" w:rsidRDefault="002F274D" w:rsidP="00ED1F52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  <w:p w14:paraId="68302FF7" w14:textId="77777777" w:rsidR="00563F8C" w:rsidRPr="00690E35" w:rsidRDefault="00563F8C" w:rsidP="009305EF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Aktivnost - </w:t>
                  </w:r>
                  <w:r w:rsidR="00C35019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A</w:t>
                  </w:r>
                  <w:r w:rsidR="0010584B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140003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  <w:hideMark/>
                </w:tcPr>
                <w:p w14:paraId="1BACF8F7" w14:textId="77777777" w:rsidR="00563F8C" w:rsidRPr="00690E35" w:rsidRDefault="0010584B" w:rsidP="00781D70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Procjena vrijednosti nekretnina</w:t>
                  </w:r>
                </w:p>
              </w:tc>
            </w:tr>
            <w:tr w:rsidR="00563F8C" w:rsidRPr="00690E35" w14:paraId="3EEDAD39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hideMark/>
                </w:tcPr>
                <w:p w14:paraId="53F58D43" w14:textId="77777777" w:rsidR="00563F8C" w:rsidRPr="00690E35" w:rsidRDefault="004A66A5" w:rsidP="00ED1F52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Cilj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  <w:hideMark/>
                </w:tcPr>
                <w:p w14:paraId="0E39152A" w14:textId="77777777" w:rsidR="00563F8C" w:rsidRPr="002337AD" w:rsidRDefault="0010584B" w:rsidP="00781D70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Reguliranje načina procjene vrijednosti nekretnina</w:t>
                  </w:r>
                </w:p>
              </w:tc>
            </w:tr>
            <w:tr w:rsidR="004A66A5" w:rsidRPr="00690E35" w14:paraId="7F389EC4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hideMark/>
                </w:tcPr>
                <w:p w14:paraId="3F1B29B1" w14:textId="77777777" w:rsidR="004A66A5" w:rsidRPr="00690E35" w:rsidRDefault="004A66A5" w:rsidP="00D66A8D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Nositelj aktivnosti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  <w:hideMark/>
                </w:tcPr>
                <w:p w14:paraId="101B37CE" w14:textId="77777777" w:rsidR="004A66A5" w:rsidRPr="00690E35" w:rsidRDefault="004A66A5" w:rsidP="00D66A8D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Dubrovačko </w:t>
                  </w:r>
                  <w:r w:rsidR="009305EF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–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neretvanska</w:t>
                  </w:r>
                  <w:r w:rsidR="009305EF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županija</w:t>
                  </w:r>
                </w:p>
              </w:tc>
            </w:tr>
            <w:tr w:rsidR="004A66A5" w:rsidRPr="00690E35" w14:paraId="3A165D47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hideMark/>
                </w:tcPr>
                <w:p w14:paraId="3A2FC99A" w14:textId="77777777" w:rsidR="004A66A5" w:rsidRPr="00690E35" w:rsidRDefault="004A66A5" w:rsidP="00D66A8D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Zakonska osnova 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  <w:hideMark/>
                </w:tcPr>
                <w:p w14:paraId="5655F149" w14:textId="77777777" w:rsidR="004A66A5" w:rsidRPr="00563F8C" w:rsidRDefault="004A66A5" w:rsidP="0010584B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Zakon o </w:t>
                  </w:r>
                  <w:r w:rsidR="0010584B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procjeni vrijednosti nekretnina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(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„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NN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“</w:t>
                  </w:r>
                  <w:r w:rsidR="0096498C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,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</w:t>
                  </w:r>
                  <w:r w:rsidR="0010584B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78/15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)</w:t>
                  </w:r>
                </w:p>
              </w:tc>
            </w:tr>
            <w:tr w:rsidR="004A66A5" w:rsidRPr="00690E35" w14:paraId="423D906A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vAlign w:val="bottom"/>
                  <w:hideMark/>
                </w:tcPr>
                <w:p w14:paraId="07054BE1" w14:textId="77777777" w:rsidR="004A66A5" w:rsidRPr="00690E35" w:rsidRDefault="009305EF" w:rsidP="00D66A8D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Planirani iznos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</w:tcPr>
                <w:p w14:paraId="713CBD78" w14:textId="77777777" w:rsidR="004A66A5" w:rsidRPr="00690E35" w:rsidRDefault="00FA55E7" w:rsidP="00F36690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2.700</w:t>
                  </w:r>
                  <w:r w:rsidR="009043EA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,00 EUR</w:t>
                  </w:r>
                  <w:r w:rsidR="004A66A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</w:t>
                  </w:r>
                </w:p>
              </w:tc>
            </w:tr>
            <w:tr w:rsidR="004A66A5" w:rsidRPr="00690E35" w14:paraId="1B760653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  <w:vAlign w:val="bottom"/>
                </w:tcPr>
                <w:p w14:paraId="4EDA1B08" w14:textId="77777777" w:rsidR="004A66A5" w:rsidRPr="00690E35" w:rsidRDefault="009305EF" w:rsidP="00D66A8D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Promjena iznosa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</w:tcPr>
                <w:p w14:paraId="204BEAA9" w14:textId="77777777" w:rsidR="004A66A5" w:rsidRPr="00690E35" w:rsidRDefault="0010584B" w:rsidP="00FA55E7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-1.</w:t>
                  </w:r>
                  <w:r w:rsidR="00FA55E7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100</w:t>
                  </w: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,00</w:t>
                  </w:r>
                  <w:r w:rsidR="009043EA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EUR</w:t>
                  </w:r>
                  <w:r w:rsidR="00052453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</w:t>
                  </w:r>
                  <w:r w:rsidR="009305EF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(</w:t>
                  </w:r>
                  <w:r w:rsidR="00D339ED" w:rsidRPr="0011297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40,74</w:t>
                  </w:r>
                  <w:r w:rsidR="009305EF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%)</w:t>
                  </w:r>
                </w:p>
              </w:tc>
            </w:tr>
            <w:tr w:rsidR="009E7460" w:rsidRPr="00690E35" w14:paraId="6A13F90F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</w:tcPr>
                <w:p w14:paraId="19DD6915" w14:textId="77777777" w:rsidR="009E7460" w:rsidRDefault="009305EF" w:rsidP="00CC796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Novi iznos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</w:tcPr>
                <w:p w14:paraId="5E1516AE" w14:textId="77777777" w:rsidR="009E7460" w:rsidRPr="009E7460" w:rsidRDefault="00FA55E7" w:rsidP="009043EA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1.6</w:t>
                  </w:r>
                  <w:r w:rsidR="0010584B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00,00</w:t>
                  </w:r>
                  <w:r w:rsidR="009E7460" w:rsidRPr="009E7460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</w:t>
                  </w:r>
                  <w:r w:rsidR="009043EA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EUR</w:t>
                  </w:r>
                </w:p>
              </w:tc>
            </w:tr>
            <w:tr w:rsidR="009E7460" w:rsidRPr="00690E35" w14:paraId="35C6C151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</w:tcPr>
                <w:p w14:paraId="1B46AB37" w14:textId="77777777" w:rsidR="009E7460" w:rsidRPr="00690E35" w:rsidRDefault="009305EF" w:rsidP="00D66A8D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Obrazloženje</w:t>
                  </w:r>
                </w:p>
              </w:tc>
              <w:tc>
                <w:tcPr>
                  <w:tcW w:w="6824" w:type="dxa"/>
                  <w:shd w:val="clear" w:color="auto" w:fill="auto"/>
                  <w:vAlign w:val="bottom"/>
                </w:tcPr>
                <w:p w14:paraId="01230CA4" w14:textId="77777777" w:rsidR="009E7460" w:rsidRPr="00D90BF0" w:rsidRDefault="0010584B" w:rsidP="00D66A8D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Smanjenje nastalo 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usklađivanjem planiranog iznosa </w:t>
                  </w:r>
                  <w:r w:rsidR="00D90BF0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(pozicija </w:t>
                  </w:r>
                  <w:r w:rsidR="00D90BF0" w:rsidRPr="004E7A9B">
                    <w:rPr>
                      <w:rFonts w:ascii="Calibri" w:eastAsia="Times New Roman" w:hAnsi="Calibri" w:cs="Calibri"/>
                      <w:i/>
                      <w:szCs w:val="24"/>
                      <w:lang w:eastAsia="hr-HR"/>
                    </w:rPr>
                    <w:t>329 – ostali nespomenuti rashodi poslovanja</w:t>
                  </w:r>
                  <w:r w:rsidR="00D90BF0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) 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sa brojem sjednica Proc</w:t>
                  </w:r>
                  <w:r w:rsidR="00FA55E7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jeniteljskog povjerenstva u 2024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. godini te troškovima nastalima </w:t>
                  </w:r>
                  <w:r w:rsidR="00D90BF0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vezanih uz održavanje sjednica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. Također je </w:t>
                  </w:r>
                  <w:r w:rsidR="00FD34AB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anuliran iznos s</w:t>
                  </w:r>
                  <w:r w:rsidR="00212124">
                    <w:rPr>
                      <w:rFonts w:ascii="Calibri" w:eastAsia="Times New Roman" w:hAnsi="Calibri" w:cs="Calibri"/>
                      <w:color w:val="FF0000"/>
                      <w:szCs w:val="24"/>
                      <w:lang w:eastAsia="hr-HR"/>
                    </w:rPr>
                    <w:t xml:space="preserve"> </w:t>
                  </w:r>
                  <w:r w:rsidR="00FD34AB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pozicije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– </w:t>
                  </w:r>
                  <w:r w:rsidR="00C35019" w:rsidRPr="004E7A9B">
                    <w:rPr>
                      <w:rFonts w:ascii="Calibri" w:eastAsia="Times New Roman" w:hAnsi="Calibri" w:cs="Calibri"/>
                      <w:i/>
                      <w:szCs w:val="24"/>
                      <w:lang w:eastAsia="hr-HR"/>
                    </w:rPr>
                    <w:t>322 – rashodi za materijal i energiju</w:t>
                  </w:r>
                  <w:r w:rsidR="004E7A9B">
                    <w:rPr>
                      <w:rFonts w:ascii="Calibri" w:eastAsia="Times New Roman" w:hAnsi="Calibri" w:cs="Calibri"/>
                      <w:i/>
                      <w:szCs w:val="24"/>
                      <w:lang w:eastAsia="hr-HR"/>
                    </w:rPr>
                    <w:t>,</w:t>
                  </w:r>
                  <w:r w:rsidR="00C35019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obzirom da do kraja godine nisu pl</w:t>
                  </w:r>
                  <w:r w:rsidR="00D90BF0" w:rsidRPr="00D90BF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anirani troškovi po tome osnovu.</w:t>
                  </w:r>
                </w:p>
                <w:p w14:paraId="38A890C6" w14:textId="77777777" w:rsidR="009E7460" w:rsidRPr="00690E35" w:rsidRDefault="009E7460" w:rsidP="00D66A8D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</w:p>
              </w:tc>
            </w:tr>
            <w:tr w:rsidR="009E7460" w:rsidRPr="00690E35" w14:paraId="0B24125E" w14:textId="77777777" w:rsidTr="00C870F5">
              <w:trPr>
                <w:trHeight w:val="130"/>
              </w:trPr>
              <w:tc>
                <w:tcPr>
                  <w:tcW w:w="2832" w:type="dxa"/>
                  <w:shd w:val="clear" w:color="auto" w:fill="auto"/>
                </w:tcPr>
                <w:p w14:paraId="24F30703" w14:textId="77777777" w:rsidR="009E7460" w:rsidRPr="00690E35" w:rsidRDefault="009E7460" w:rsidP="000F748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</w:tc>
              <w:tc>
                <w:tcPr>
                  <w:tcW w:w="6824" w:type="dxa"/>
                  <w:shd w:val="clear" w:color="auto" w:fill="auto"/>
                  <w:vAlign w:val="bottom"/>
                </w:tcPr>
                <w:p w14:paraId="1A60B59D" w14:textId="77777777" w:rsidR="009E7460" w:rsidRPr="00690E35" w:rsidRDefault="009E7460" w:rsidP="000F7489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</w:p>
              </w:tc>
            </w:tr>
          </w:tbl>
          <w:p w14:paraId="01E15AD2" w14:textId="77777777" w:rsidR="008D0137" w:rsidRDefault="008D0137" w:rsidP="00ED1F52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  <w:p w14:paraId="3D65E662" w14:textId="77777777" w:rsidR="00171C19" w:rsidRDefault="00171C19" w:rsidP="00171C19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Cs w:val="24"/>
                <w:lang w:eastAsia="hr-HR"/>
              </w:rPr>
              <w:t>Program 1401 – Program prostornog planiranja</w:t>
            </w:r>
          </w:p>
          <w:p w14:paraId="09440B02" w14:textId="77777777" w:rsidR="00171C19" w:rsidRDefault="00171C19" w:rsidP="00171C19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  <w:tbl>
            <w:tblPr>
              <w:tblW w:w="9440" w:type="dxa"/>
              <w:tblLook w:val="04A0" w:firstRow="1" w:lastRow="0" w:firstColumn="1" w:lastColumn="0" w:noHBand="0" w:noVBand="1"/>
            </w:tblPr>
            <w:tblGrid>
              <w:gridCol w:w="2769"/>
              <w:gridCol w:w="6671"/>
            </w:tblGrid>
            <w:tr w:rsidR="00171C19" w:rsidRPr="00690E35" w14:paraId="7D326FF2" w14:textId="77777777" w:rsidTr="00717B69">
              <w:trPr>
                <w:trHeight w:val="149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12670832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  <w:p w14:paraId="15B2300C" w14:textId="77777777" w:rsidR="00171C19" w:rsidRPr="00690E35" w:rsidRDefault="00C350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Aktivnost</w:t>
                  </w:r>
                  <w:r w:rsidR="00171C19"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- </w:t>
                  </w: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K140101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6FE9F394" w14:textId="77777777" w:rsidR="00171C19" w:rsidRPr="00690E35" w:rsidRDefault="0010584B" w:rsidP="00171C19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Izmjene i dopune PP DNŽ</w:t>
                  </w:r>
                </w:p>
              </w:tc>
            </w:tr>
            <w:tr w:rsidR="00171C19" w:rsidRPr="008E2000" w14:paraId="5EFD26BA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12FD886F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Cilj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2367C4FF" w14:textId="77777777" w:rsidR="00171C19" w:rsidRPr="008E2000" w:rsidRDefault="00171C19" w:rsidP="00171C19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Održivo upravljanje prostorom</w:t>
                  </w:r>
                  <w:r w:rsidRPr="008E200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</w:t>
                  </w:r>
                </w:p>
              </w:tc>
            </w:tr>
            <w:tr w:rsidR="00171C19" w:rsidRPr="00690E35" w14:paraId="19D4817D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30C3A156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Nositelj aktivnosti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5C112C11" w14:textId="77777777" w:rsidR="00171C19" w:rsidRPr="00690E35" w:rsidRDefault="00171C19" w:rsidP="00171C19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Dubrovačko – neretvanska županija</w:t>
                  </w:r>
                </w:p>
              </w:tc>
            </w:tr>
            <w:tr w:rsidR="00171C19" w:rsidRPr="00563F8C" w14:paraId="2665DAD8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08784ED0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Zakonska osnova 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0A743019" w14:textId="77777777" w:rsidR="00171C19" w:rsidRPr="00563F8C" w:rsidRDefault="00171C19" w:rsidP="0010584B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Zakon o prostornom uređenju (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„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NN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“,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153/13, 65/17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, 114/18, 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39/19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, 98/19</w:t>
                  </w:r>
                  <w:r w:rsidR="0010584B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, 67/23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)</w:t>
                  </w:r>
                </w:p>
              </w:tc>
            </w:tr>
            <w:tr w:rsidR="00171C19" w:rsidRPr="00690E35" w14:paraId="4B531B82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2C8946F1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Planirani iznos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2973676A" w14:textId="77777777" w:rsidR="00171C19" w:rsidRPr="00690E35" w:rsidRDefault="00FA55E7" w:rsidP="00171C19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17.300</w:t>
                  </w:r>
                  <w:r w:rsidR="00434A11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,00 EUR</w:t>
                  </w:r>
                  <w:r w:rsidR="00171C19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</w:t>
                  </w:r>
                </w:p>
              </w:tc>
            </w:tr>
            <w:tr w:rsidR="00171C19" w:rsidRPr="00690E35" w14:paraId="56CC084D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4E532770" w14:textId="77777777" w:rsidR="00171C19" w:rsidRPr="00690E35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Promjena iznosa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671CCC07" w14:textId="77777777" w:rsidR="00171C19" w:rsidRPr="00690E35" w:rsidRDefault="00FA55E7" w:rsidP="0010584B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-17.300</w:t>
                  </w:r>
                  <w:r w:rsidR="0006215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,00</w:t>
                  </w:r>
                  <w:r w:rsidR="00434A11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EUR</w:t>
                  </w:r>
                  <w:r w:rsidR="00171C19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</w:t>
                  </w:r>
                  <w:r w:rsidR="00434A11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(</w:t>
                  </w:r>
                  <w:r w:rsidR="0010584B" w:rsidRPr="0011297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100,00</w:t>
                  </w:r>
                  <w:r w:rsidR="00171C19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%) </w:t>
                  </w:r>
                </w:p>
              </w:tc>
            </w:tr>
            <w:tr w:rsidR="00171C19" w:rsidRPr="00690E35" w14:paraId="7D589788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6C67510E" w14:textId="77777777" w:rsidR="00171C19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Novi iznos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529D732E" w14:textId="77777777" w:rsidR="00171C19" w:rsidRPr="009E7460" w:rsidRDefault="0010584B" w:rsidP="00171C19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0,00</w:t>
                  </w:r>
                  <w:r w:rsidR="00434A11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EUR</w:t>
                  </w:r>
                  <w:r w:rsidR="00171C19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 </w:t>
                  </w:r>
                </w:p>
              </w:tc>
            </w:tr>
            <w:tr w:rsidR="00171C19" w:rsidRPr="00690E35" w14:paraId="3805EFC3" w14:textId="77777777" w:rsidTr="00717B69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4ABA24DB" w14:textId="77777777" w:rsidR="00171C19" w:rsidRPr="00841F94" w:rsidRDefault="00171C19" w:rsidP="00171C19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841F94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Obrazloženje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6224C77D" w14:textId="77777777" w:rsidR="00171C19" w:rsidRPr="00841F94" w:rsidRDefault="009A3588" w:rsidP="00841F94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U </w:t>
                  </w:r>
                  <w:r w:rsidR="00841F94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prosincu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2023. </w:t>
                  </w:r>
                  <w:r w:rsidR="00841F94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sklopljen je Ugovor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za izradu Strateške studije utjecaja na okoliš ciljanih izmjena i dopuna Prostornog plana Dubrovačko-neretvanske županije. </w:t>
                  </w:r>
                  <w:r w:rsidR="00841F94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S obzirom da studija još nije izrađena, a 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navedenim izmjenama i dopunama prostornog plana može </w:t>
                  </w:r>
                  <w:r w:rsidR="00841F94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se 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pristupiti tek po izradi predmetne studije, planirani iznos je </w:t>
                  </w:r>
                  <w:r w:rsidR="00212124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anuliran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obzirom da</w:t>
                  </w:r>
                  <w:r w:rsidR="00C35019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se</w:t>
                  </w: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do kraja godine neće pristupiti </w:t>
                  </w:r>
                  <w:r w:rsidR="00C35019"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izradi ciljanih izmjena i dopuna.</w:t>
                  </w:r>
                </w:p>
              </w:tc>
            </w:tr>
          </w:tbl>
          <w:p w14:paraId="56CBCE26" w14:textId="77777777" w:rsidR="00171C19" w:rsidRPr="00690E35" w:rsidRDefault="00171C19" w:rsidP="00ED1F52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</w:tc>
      </w:tr>
      <w:tr w:rsidR="00F7603F" w:rsidRPr="00CD121A" w14:paraId="4C5F549B" w14:textId="77777777" w:rsidTr="00062155">
        <w:trPr>
          <w:trHeight w:val="499"/>
        </w:trPr>
        <w:tc>
          <w:tcPr>
            <w:tcW w:w="2856" w:type="dxa"/>
            <w:shd w:val="clear" w:color="auto" w:fill="auto"/>
          </w:tcPr>
          <w:tbl>
            <w:tblPr>
              <w:tblW w:w="9440" w:type="dxa"/>
              <w:tblLook w:val="04A0" w:firstRow="1" w:lastRow="0" w:firstColumn="1" w:lastColumn="0" w:noHBand="0" w:noVBand="1"/>
            </w:tblPr>
            <w:tblGrid>
              <w:gridCol w:w="2769"/>
              <w:gridCol w:w="6671"/>
            </w:tblGrid>
            <w:tr w:rsidR="00FA55E7" w:rsidRPr="00690E35" w14:paraId="71A14E77" w14:textId="77777777" w:rsidTr="00722E5E">
              <w:trPr>
                <w:trHeight w:val="149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04F176D4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</w:p>
                <w:p w14:paraId="3E684855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Aktivnost</w:t>
                  </w: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- </w:t>
                  </w: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K140102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41ABA9E3" w14:textId="77777777" w:rsidR="00FA55E7" w:rsidRPr="00690E35" w:rsidRDefault="00FA55E7" w:rsidP="00FA55E7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FA55E7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Strateška procjena utjecaja na okoliš za PP - stručna podloga</w:t>
                  </w:r>
                </w:p>
              </w:tc>
            </w:tr>
            <w:tr w:rsidR="00FA55E7" w:rsidRPr="008E2000" w14:paraId="17A00A36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544C25BD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lastRenderedPageBreak/>
                    <w:t>Cilj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08509CE7" w14:textId="77777777" w:rsidR="00FA55E7" w:rsidRPr="008E2000" w:rsidRDefault="00FA55E7" w:rsidP="00FA55E7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Održivo upravljanje prostorom</w:t>
                  </w:r>
                  <w:r w:rsidRPr="008E2000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</w:t>
                  </w:r>
                </w:p>
              </w:tc>
            </w:tr>
            <w:tr w:rsidR="00FA55E7" w:rsidRPr="00690E35" w14:paraId="147CA940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71B4673F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Nositelj aktivnosti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30E9CD7B" w14:textId="77777777" w:rsidR="00FA55E7" w:rsidRPr="00690E35" w:rsidRDefault="00FA55E7" w:rsidP="00FA55E7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Dubrovačko – neretvanska županija</w:t>
                  </w:r>
                </w:p>
              </w:tc>
            </w:tr>
            <w:tr w:rsidR="00FA55E7" w:rsidRPr="00563F8C" w14:paraId="50AA3185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0D75AD42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Zakonska osnova 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76846882" w14:textId="77777777" w:rsidR="00FA55E7" w:rsidRPr="00563F8C" w:rsidRDefault="00FA55E7" w:rsidP="00FA55E7">
                  <w:pPr>
                    <w:jc w:val="both"/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</w:pP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Zakon o prostornom uređenju (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„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NN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“,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153/13, 65/17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, 114/18, 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39/19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, 98/19, 67/23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)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, Zakon o zaštiti okoliša 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(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„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NN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“,</w:t>
                  </w:r>
                  <w:r w:rsidRPr="00690E35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 xml:space="preserve"> </w:t>
                  </w:r>
                  <w:r w:rsidRPr="00FA55E7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80/13, 153/13, 78/15, 12/18, 118/18</w:t>
                  </w:r>
                  <w:r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)</w:t>
                  </w:r>
                </w:p>
              </w:tc>
            </w:tr>
            <w:tr w:rsidR="00FA55E7" w:rsidRPr="00690E35" w14:paraId="15999C4A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2C3AA38B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Planirani iznos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60A0D85F" w14:textId="77777777" w:rsidR="00FA55E7" w:rsidRPr="00690E35" w:rsidRDefault="00FA55E7" w:rsidP="00FA55E7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26.800,00 EUR </w:t>
                  </w:r>
                </w:p>
              </w:tc>
            </w:tr>
            <w:tr w:rsidR="00FA55E7" w:rsidRPr="00690E35" w14:paraId="2B039913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  <w:vAlign w:val="bottom"/>
                </w:tcPr>
                <w:p w14:paraId="410D8C50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Promjena iznosa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3FCCB334" w14:textId="77777777" w:rsidR="00FA55E7" w:rsidRPr="00690E35" w:rsidRDefault="00FA55E7" w:rsidP="00D339ED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-9.675,00 EUR (</w:t>
                  </w:r>
                  <w:r w:rsidR="00D339ED" w:rsidRPr="00112975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36,10</w:t>
                  </w:r>
                  <w:r w:rsidR="00D339ED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%)</w:t>
                  </w:r>
                </w:p>
              </w:tc>
            </w:tr>
            <w:tr w:rsidR="00FA55E7" w:rsidRPr="00690E35" w14:paraId="2550ABC4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441436CF" w14:textId="77777777" w:rsidR="00FA55E7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Novi iznos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568772EC" w14:textId="77777777" w:rsidR="00FA55E7" w:rsidRPr="009E7460" w:rsidRDefault="00D339ED" w:rsidP="00FA55E7">
                  <w:pPr>
                    <w:jc w:val="both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17.125,00</w:t>
                  </w:r>
                  <w:r w:rsidR="00FA55E7"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 xml:space="preserve"> EUR  </w:t>
                  </w:r>
                </w:p>
              </w:tc>
            </w:tr>
            <w:tr w:rsidR="00FA55E7" w:rsidRPr="00690E35" w14:paraId="5FAED70C" w14:textId="77777777" w:rsidTr="00722E5E">
              <w:trPr>
                <w:trHeight w:val="123"/>
              </w:trPr>
              <w:tc>
                <w:tcPr>
                  <w:tcW w:w="2769" w:type="dxa"/>
                  <w:shd w:val="clear" w:color="auto" w:fill="auto"/>
                </w:tcPr>
                <w:p w14:paraId="22DA447D" w14:textId="77777777" w:rsidR="00FA55E7" w:rsidRPr="00690E35" w:rsidRDefault="00FA55E7" w:rsidP="00FA55E7">
                  <w:pPr>
                    <w:jc w:val="left"/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szCs w:val="24"/>
                      <w:lang w:eastAsia="hr-HR"/>
                    </w:rPr>
                    <w:t>Obrazloženje</w:t>
                  </w:r>
                </w:p>
              </w:tc>
              <w:tc>
                <w:tcPr>
                  <w:tcW w:w="6671" w:type="dxa"/>
                  <w:shd w:val="clear" w:color="auto" w:fill="auto"/>
                  <w:vAlign w:val="bottom"/>
                </w:tcPr>
                <w:p w14:paraId="2A82316C" w14:textId="77777777" w:rsidR="00FA55E7" w:rsidRPr="0010584B" w:rsidRDefault="00841F94" w:rsidP="00841F94">
                  <w:pPr>
                    <w:jc w:val="both"/>
                    <w:rPr>
                      <w:rFonts w:ascii="Calibri" w:eastAsia="Times New Roman" w:hAnsi="Calibri" w:cs="Calibri"/>
                      <w:color w:val="FF0000"/>
                      <w:szCs w:val="24"/>
                      <w:lang w:eastAsia="hr-HR"/>
                    </w:rPr>
                  </w:pPr>
                  <w:r w:rsidRPr="00841F94">
                    <w:rPr>
                      <w:rFonts w:ascii="Calibri" w:eastAsia="Times New Roman" w:hAnsi="Calibri" w:cs="Calibri"/>
                      <w:szCs w:val="24"/>
                      <w:lang w:eastAsia="hr-HR"/>
                    </w:rPr>
                    <w:t>Iznos je umanjen sukladno dinamici plaćanja predviđenom Ugovorom o nabavi usluge izrade Strateške studije utjecaja ciljanih izmjena i dopuna Prostornog plana Dubrovačko-neretvanske županije na okoliš.</w:t>
                  </w:r>
                </w:p>
              </w:tc>
            </w:tr>
          </w:tbl>
          <w:p w14:paraId="517CC6E4" w14:textId="77777777" w:rsidR="00F7603F" w:rsidRPr="00CD121A" w:rsidRDefault="00F7603F" w:rsidP="00F7603F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</w:tc>
        <w:tc>
          <w:tcPr>
            <w:tcW w:w="6575" w:type="dxa"/>
            <w:shd w:val="clear" w:color="auto" w:fill="auto"/>
          </w:tcPr>
          <w:p w14:paraId="3AE7095F" w14:textId="77777777" w:rsidR="00F7603F" w:rsidRPr="00CD121A" w:rsidRDefault="00F7603F" w:rsidP="00F7603F">
            <w:pPr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Cs w:val="24"/>
                <w:lang w:eastAsia="hr-HR"/>
              </w:rPr>
            </w:pPr>
          </w:p>
        </w:tc>
      </w:tr>
      <w:tr w:rsidR="00062155" w:rsidRPr="00CD121A" w14:paraId="2DC2221D" w14:textId="77777777" w:rsidTr="00062155">
        <w:trPr>
          <w:trHeight w:val="499"/>
        </w:trPr>
        <w:tc>
          <w:tcPr>
            <w:tcW w:w="2856" w:type="dxa"/>
            <w:shd w:val="clear" w:color="auto" w:fill="auto"/>
          </w:tcPr>
          <w:p w14:paraId="003DA903" w14:textId="77777777" w:rsidR="00062155" w:rsidRPr="00CD121A" w:rsidRDefault="00062155" w:rsidP="00F7603F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</w:tc>
        <w:tc>
          <w:tcPr>
            <w:tcW w:w="6575" w:type="dxa"/>
            <w:shd w:val="clear" w:color="auto" w:fill="auto"/>
          </w:tcPr>
          <w:p w14:paraId="58897E61" w14:textId="77777777" w:rsidR="00062155" w:rsidRPr="00CD121A" w:rsidRDefault="00062155" w:rsidP="00F7603F">
            <w:pPr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Cs w:val="24"/>
                <w:lang w:eastAsia="hr-HR"/>
              </w:rPr>
            </w:pPr>
          </w:p>
        </w:tc>
      </w:tr>
      <w:tr w:rsidR="00062155" w:rsidRPr="00CD121A" w14:paraId="38A1F124" w14:textId="77777777" w:rsidTr="00062155">
        <w:trPr>
          <w:trHeight w:val="499"/>
        </w:trPr>
        <w:tc>
          <w:tcPr>
            <w:tcW w:w="2856" w:type="dxa"/>
            <w:shd w:val="clear" w:color="auto" w:fill="auto"/>
          </w:tcPr>
          <w:p w14:paraId="0BA3705B" w14:textId="77777777" w:rsidR="00062155" w:rsidRPr="00CD121A" w:rsidRDefault="00062155" w:rsidP="00F7603F">
            <w:pPr>
              <w:jc w:val="left"/>
              <w:rPr>
                <w:rFonts w:ascii="Calibri" w:eastAsia="Times New Roman" w:hAnsi="Calibri" w:cs="Calibri"/>
                <w:b/>
                <w:szCs w:val="24"/>
                <w:lang w:eastAsia="hr-HR"/>
              </w:rPr>
            </w:pPr>
          </w:p>
        </w:tc>
        <w:tc>
          <w:tcPr>
            <w:tcW w:w="6575" w:type="dxa"/>
            <w:shd w:val="clear" w:color="auto" w:fill="auto"/>
          </w:tcPr>
          <w:p w14:paraId="181A00EB" w14:textId="77777777" w:rsidR="00062155" w:rsidRPr="00CD121A" w:rsidRDefault="00062155" w:rsidP="00F7603F">
            <w:pPr>
              <w:autoSpaceDE w:val="0"/>
              <w:autoSpaceDN w:val="0"/>
              <w:adjustRightInd w:val="0"/>
              <w:jc w:val="left"/>
              <w:rPr>
                <w:rFonts w:ascii="Calibri" w:eastAsia="Times New Roman" w:hAnsi="Calibri" w:cs="Calibri"/>
                <w:szCs w:val="24"/>
                <w:lang w:eastAsia="hr-HR"/>
              </w:rPr>
            </w:pPr>
          </w:p>
        </w:tc>
      </w:tr>
    </w:tbl>
    <w:p w14:paraId="37ACCDA4" w14:textId="77777777" w:rsidR="00062155" w:rsidRDefault="00062155" w:rsidP="0006215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rFonts w:cs="Calibri"/>
          <w:sz w:val="24"/>
          <w:szCs w:val="24"/>
        </w:rPr>
        <w:t xml:space="preserve">NAPOMENA: </w:t>
      </w:r>
      <w:r>
        <w:rPr>
          <w:bCs/>
          <w:sz w:val="24"/>
          <w:szCs w:val="24"/>
        </w:rPr>
        <w:t xml:space="preserve">oba programa (Program građenja i Program prostornog planiranja zajedno sa pripadajućim aktivnostima), u „Provedbenom programu Dubrovačko-neretvanske županije za razdoblje do 2025. godine“, iz prosinca 2021., spadaju pod cilj - </w:t>
      </w:r>
      <w:r>
        <w:rPr>
          <w:bCs/>
          <w:i/>
          <w:sz w:val="24"/>
          <w:szCs w:val="24"/>
        </w:rPr>
        <w:t>4.1. Razvoj sustava</w:t>
      </w:r>
    </w:p>
    <w:p w14:paraId="7B59E511" w14:textId="77777777" w:rsidR="00062155" w:rsidRDefault="00062155" w:rsidP="0006215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prostornog planiranja i upravljanja imovinom te jačanje kvalitete institucija u javnom sektoru, </w:t>
      </w:r>
      <w:r>
        <w:rPr>
          <w:bCs/>
          <w:sz w:val="24"/>
          <w:szCs w:val="24"/>
        </w:rPr>
        <w:t>te mjeru</w:t>
      </w:r>
      <w:r>
        <w:rPr>
          <w:bCs/>
          <w:i/>
          <w:sz w:val="24"/>
          <w:szCs w:val="24"/>
        </w:rPr>
        <w:t xml:space="preserve">  - 4.1.2. – Razvoj sustava prostornog planiranja i upravljanja imovinom.</w:t>
      </w:r>
    </w:p>
    <w:p w14:paraId="5526819B" w14:textId="77777777" w:rsidR="0006777A" w:rsidRDefault="0006777A" w:rsidP="0006215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58C95A0C" w14:textId="77777777" w:rsidR="0006777A" w:rsidRDefault="0006777A" w:rsidP="00062155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1F387257" w14:textId="4622D244" w:rsidR="0006777A" w:rsidRPr="0006777A" w:rsidRDefault="0006777A" w:rsidP="00062155">
      <w:pPr>
        <w:pStyle w:val="NoSpacing"/>
        <w:shd w:val="clear" w:color="auto" w:fill="FFFFFF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GLAVA 10402 ZAVOD ZA PROSTORNO UREĐENJE DUBROVAČKO-NERETVANSKE ŽUPANIJE</w:t>
      </w:r>
    </w:p>
    <w:p w14:paraId="42B5AADF" w14:textId="77777777" w:rsidR="00271354" w:rsidRDefault="00271354" w:rsidP="00CB4537">
      <w:pPr>
        <w:pStyle w:val="NoSpacing"/>
        <w:rPr>
          <w:rFonts w:cs="Calibri"/>
          <w:sz w:val="24"/>
          <w:szCs w:val="24"/>
        </w:rPr>
      </w:pPr>
    </w:p>
    <w:p w14:paraId="04315BC4" w14:textId="77777777" w:rsidR="0006777A" w:rsidRPr="0006777A" w:rsidRDefault="0006777A" w:rsidP="0006777A">
      <w:pPr>
        <w:pBdr>
          <w:bottom w:val="single" w:sz="12" w:space="1" w:color="auto"/>
        </w:pBd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NAZIV KORISNIKA: ZAVOD ZA PROSTORNO UREĐENJE DUBROVAČKO-NERETVANSKE ŽUPANIJE</w:t>
      </w:r>
    </w:p>
    <w:p w14:paraId="749A1B3C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5713B880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2A99F013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SAŽETAK DJELOKRUGA RADA:</w:t>
      </w:r>
    </w:p>
    <w:p w14:paraId="6E9BE01E" w14:textId="77777777" w:rsidR="0006777A" w:rsidRPr="0006777A" w:rsidRDefault="0006777A" w:rsidP="0006777A">
      <w:pPr>
        <w:jc w:val="both"/>
        <w:rPr>
          <w:rFonts w:asciiTheme="minorHAnsi" w:eastAsia="Times New Roman" w:hAnsiTheme="minorHAnsi" w:cstheme="minorHAnsi"/>
          <w:sz w:val="22"/>
          <w:lang w:eastAsia="hr-HR"/>
        </w:rPr>
      </w:pPr>
      <w:r w:rsidRPr="0006777A">
        <w:rPr>
          <w:rFonts w:asciiTheme="minorHAnsi" w:eastAsia="Times New Roman" w:hAnsiTheme="minorHAnsi" w:cstheme="minorHAnsi"/>
          <w:sz w:val="22"/>
          <w:lang w:eastAsia="hr-HR"/>
        </w:rPr>
        <w:t>Djelatnost Zavoda za prostorno uređenje županije, sukladno članku 27. Zakona o prostornom uređenju (NN 153/13, 65/17, 114/18, 39/19, 98/19 i 67/23) obuhvaća osobito:</w:t>
      </w:r>
    </w:p>
    <w:p w14:paraId="6CF1C938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 xml:space="preserve">izradu, odnosno koordinaciju izrade i praćenje provedbe prostornih planova područne (regionalne) razine, </w:t>
      </w:r>
    </w:p>
    <w:p w14:paraId="12C15FF5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izradu izvješća o stanju u prostoru,</w:t>
      </w:r>
    </w:p>
    <w:p w14:paraId="1F8B022A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vođenje informacijskog sustava prostornog uređenja i upravljanje njime u okviru njegovih ovlasti,</w:t>
      </w:r>
    </w:p>
    <w:p w14:paraId="32DEB5AA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pripremu polazišta za izradu, odnosno stavljanje izvan snage prostornih planova užih područja,</w:t>
      </w:r>
    </w:p>
    <w:p w14:paraId="24EBFB46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pružanje stručne savjetodavne pomoći u izradi prostornih planova lokalne razine,</w:t>
      </w:r>
    </w:p>
    <w:p w14:paraId="0C136EF8" w14:textId="77777777" w:rsidR="0006777A" w:rsidRPr="0006777A" w:rsidRDefault="0006777A" w:rsidP="0006777A">
      <w:pPr>
        <w:numPr>
          <w:ilvl w:val="0"/>
          <w:numId w:val="11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druge poslove u skladu s ovim Zakonom i Statutom Zavoda.</w:t>
      </w:r>
    </w:p>
    <w:p w14:paraId="6094DEF5" w14:textId="77777777" w:rsidR="0006777A" w:rsidRPr="0006777A" w:rsidRDefault="0006777A" w:rsidP="0006777A">
      <w:p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</w:p>
    <w:p w14:paraId="4A3A460E" w14:textId="77777777" w:rsidR="0006777A" w:rsidRPr="0006777A" w:rsidRDefault="0006777A" w:rsidP="0006777A">
      <w:p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Zavod za prostorno uređenje županije može izrađivati i:</w:t>
      </w:r>
    </w:p>
    <w:p w14:paraId="389E53E3" w14:textId="77777777" w:rsidR="0006777A" w:rsidRPr="0006777A" w:rsidRDefault="0006777A" w:rsidP="0006777A">
      <w:pPr>
        <w:numPr>
          <w:ilvl w:val="0"/>
          <w:numId w:val="10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 xml:space="preserve">prostorni plan područja posebnih obilježja, </w:t>
      </w:r>
    </w:p>
    <w:p w14:paraId="2D050C46" w14:textId="77777777" w:rsidR="0006777A" w:rsidRPr="0006777A" w:rsidRDefault="0006777A" w:rsidP="0006777A">
      <w:pPr>
        <w:numPr>
          <w:ilvl w:val="0"/>
          <w:numId w:val="10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 xml:space="preserve">prostorni plan uređenja grada i općine, </w:t>
      </w:r>
    </w:p>
    <w:p w14:paraId="35B4A6FB" w14:textId="77777777" w:rsidR="0006777A" w:rsidRPr="0006777A" w:rsidRDefault="0006777A" w:rsidP="0006777A">
      <w:pPr>
        <w:numPr>
          <w:ilvl w:val="0"/>
          <w:numId w:val="10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 xml:space="preserve">generalni urbanistički plan, </w:t>
      </w:r>
    </w:p>
    <w:p w14:paraId="6E76C4F2" w14:textId="77777777" w:rsidR="0006777A" w:rsidRPr="0006777A" w:rsidRDefault="0006777A" w:rsidP="0006777A">
      <w:pPr>
        <w:numPr>
          <w:ilvl w:val="0"/>
          <w:numId w:val="10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 xml:space="preserve">urbanistički plan uređenja od značaja za Državu, odnosno županiju te </w:t>
      </w:r>
    </w:p>
    <w:p w14:paraId="5D6E68FB" w14:textId="77777777" w:rsidR="0006777A" w:rsidRPr="0006777A" w:rsidRDefault="0006777A" w:rsidP="0006777A">
      <w:pPr>
        <w:numPr>
          <w:ilvl w:val="0"/>
          <w:numId w:val="10"/>
        </w:numPr>
        <w:suppressAutoHyphens/>
        <w:jc w:val="both"/>
        <w:rPr>
          <w:rFonts w:asciiTheme="minorHAnsi" w:eastAsia="Times New Roman" w:hAnsiTheme="minorHAnsi" w:cstheme="minorHAnsi"/>
          <w:sz w:val="22"/>
          <w:lang w:eastAsia="zh-CN"/>
        </w:rPr>
      </w:pPr>
      <w:r w:rsidRPr="0006777A">
        <w:rPr>
          <w:rFonts w:asciiTheme="minorHAnsi" w:eastAsia="Times New Roman" w:hAnsiTheme="minorHAnsi" w:cstheme="minorHAnsi"/>
          <w:sz w:val="22"/>
          <w:lang w:eastAsia="zh-CN"/>
        </w:rPr>
        <w:t>obavljati stručne analitičke poslove iz područja prostornog uređenja, ako to zatraži Ministarstvo ili župan.</w:t>
      </w:r>
    </w:p>
    <w:p w14:paraId="6FBE42C4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71145462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ORGANIZACIJSKA STRUKTURA:</w:t>
      </w:r>
    </w:p>
    <w:p w14:paraId="33F6251E" w14:textId="77777777" w:rsidR="0006777A" w:rsidRPr="0006777A" w:rsidRDefault="0006777A" w:rsidP="0006777A">
      <w:pPr>
        <w:tabs>
          <w:tab w:val="left" w:pos="405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sz w:val="22"/>
        </w:rPr>
        <w:t>ZZPUDNŽ obavlja poslove u Dubrovniku za područje cijele DNŽ.</w:t>
      </w:r>
    </w:p>
    <w:p w14:paraId="04FAD0EF" w14:textId="77777777" w:rsidR="0006777A" w:rsidRPr="0006777A" w:rsidRDefault="0006777A" w:rsidP="0006777A">
      <w:pPr>
        <w:tabs>
          <w:tab w:val="left" w:pos="405"/>
        </w:tabs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sz w:val="22"/>
        </w:rPr>
        <w:t>U Zavodu su uspostavljena dva Odsjeka i to:</w:t>
      </w:r>
    </w:p>
    <w:p w14:paraId="252E1CEB" w14:textId="77777777" w:rsidR="0006777A" w:rsidRPr="0006777A" w:rsidRDefault="0006777A" w:rsidP="0006777A">
      <w:pPr>
        <w:numPr>
          <w:ilvl w:val="0"/>
          <w:numId w:val="12"/>
        </w:numPr>
        <w:tabs>
          <w:tab w:val="left" w:pos="405"/>
        </w:tabs>
        <w:contextualSpacing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sz w:val="22"/>
        </w:rPr>
        <w:lastRenderedPageBreak/>
        <w:t>Odsjek za prostorno planiranje</w:t>
      </w:r>
    </w:p>
    <w:p w14:paraId="751830C5" w14:textId="77777777" w:rsidR="0006777A" w:rsidRPr="0006777A" w:rsidRDefault="0006777A" w:rsidP="0006777A">
      <w:pPr>
        <w:numPr>
          <w:ilvl w:val="0"/>
          <w:numId w:val="12"/>
        </w:numPr>
        <w:tabs>
          <w:tab w:val="left" w:pos="405"/>
        </w:tabs>
        <w:contextualSpacing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sz w:val="22"/>
        </w:rPr>
        <w:t>Odsjek za stratešku infrastrukturu i zaštitu okoliša s</w:t>
      </w:r>
    </w:p>
    <w:p w14:paraId="3C13E7C2" w14:textId="77777777" w:rsidR="0006777A" w:rsidRPr="0006777A" w:rsidRDefault="0006777A" w:rsidP="0006777A">
      <w:pPr>
        <w:numPr>
          <w:ilvl w:val="1"/>
          <w:numId w:val="12"/>
        </w:numPr>
        <w:tabs>
          <w:tab w:val="left" w:pos="405"/>
        </w:tabs>
        <w:contextualSpacing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sz w:val="22"/>
        </w:rPr>
        <w:t>Pododsjekom za Integralno upravljanje obalnim područjem.</w:t>
      </w:r>
    </w:p>
    <w:p w14:paraId="62AED06C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trike/>
          <w:sz w:val="22"/>
        </w:rPr>
      </w:pPr>
    </w:p>
    <w:p w14:paraId="677E9BFE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hAnsiTheme="minorHAnsi" w:cstheme="minorHAnsi"/>
          <w:b/>
          <w:bCs/>
          <w:sz w:val="22"/>
          <w:lang w:eastAsia="hr-HR"/>
        </w:rPr>
        <w:t>II. REBALANS ZA 2024. GODINU: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2953"/>
        <w:gridCol w:w="1843"/>
        <w:gridCol w:w="1701"/>
        <w:gridCol w:w="2125"/>
      </w:tblGrid>
      <w:tr w:rsidR="0006777A" w:rsidRPr="0006777A" w14:paraId="6FBF412A" w14:textId="77777777" w:rsidTr="008E66F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335A87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Rb.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24E586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Naziv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648E1" w14:textId="77777777" w:rsidR="0006777A" w:rsidRPr="0006777A" w:rsidRDefault="0006777A" w:rsidP="0006777A">
            <w:pPr>
              <w:jc w:val="lef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I. REBALANS 2024</w:t>
            </w:r>
          </w:p>
          <w:p w14:paraId="04A6BBAE" w14:textId="77777777" w:rsidR="0006777A" w:rsidRPr="0006777A" w:rsidRDefault="0006777A" w:rsidP="0006777A">
            <w:pPr>
              <w:jc w:val="lef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7AB0D2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PROMJENA IZNOSA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DE1B03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II. REBALANS 2024.</w:t>
            </w:r>
          </w:p>
        </w:tc>
      </w:tr>
      <w:tr w:rsidR="0006777A" w:rsidRPr="0006777A" w14:paraId="00BE06A0" w14:textId="77777777" w:rsidTr="008E66F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EADC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C47A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Redovna djelatnost ZZPUDNŽ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4BE4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390.567,00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F6649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+57.300,00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3CD0C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447.867,00</w:t>
            </w:r>
          </w:p>
        </w:tc>
      </w:tr>
      <w:tr w:rsidR="0006777A" w:rsidRPr="0006777A" w14:paraId="61C533BE" w14:textId="77777777" w:rsidTr="008E66F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E39F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2.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06C8" w14:textId="77777777" w:rsidR="0006777A" w:rsidRPr="0006777A" w:rsidRDefault="0006777A" w:rsidP="0006777A">
            <w:pPr>
              <w:jc w:val="lef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Program prostornog planiranja i održivog razvoja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F897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141.000,00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E976B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-10.800,00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3A031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130.200,00</w:t>
            </w:r>
          </w:p>
        </w:tc>
      </w:tr>
      <w:tr w:rsidR="0006777A" w:rsidRPr="0006777A" w14:paraId="4F49C3A2" w14:textId="77777777" w:rsidTr="008E66F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55EE5D9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4A4B045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D0AF2E6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531.567,00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6815455B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+46.500,00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1312B22A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578.067,00</w:t>
            </w:r>
          </w:p>
        </w:tc>
      </w:tr>
    </w:tbl>
    <w:p w14:paraId="5BE2F78A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2D3F533C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5F68B9A6" w14:textId="40E95B70" w:rsidR="0006777A" w:rsidRPr="0006777A" w:rsidRDefault="0006777A" w:rsidP="0006777A">
      <w:pPr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4FA70E9D" w14:textId="77777777" w:rsidR="0006777A" w:rsidRPr="0006777A" w:rsidRDefault="0006777A" w:rsidP="0006777A">
      <w:pPr>
        <w:pBdr>
          <w:bottom w:val="single" w:sz="12" w:space="5" w:color="auto"/>
        </w:pBd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NAZIV PROGRAMA: REDOVNA DJELATNOST ZZPUDNŽ</w:t>
      </w:r>
    </w:p>
    <w:p w14:paraId="56E879CC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2F955C01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0FF7647D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 xml:space="preserve">OPĆI CILJ: </w:t>
      </w:r>
    </w:p>
    <w:p w14:paraId="20D6C5E3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sz w:val="22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zahtjeva i stručnog mišljenja na PPUO/G, GUP-ove i UPU-ove, te mišljenja na konačne prijedloge PPUO/G-ova, izradu Izvješća o stanju u prostoru te druge poslove u skladu s odlukama Ministarstva, Župana i Županijske skupštine.</w:t>
      </w:r>
    </w:p>
    <w:p w14:paraId="6A724AF6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3DB2B3BB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sz w:val="22"/>
          <w:lang w:eastAsia="hr-HR"/>
        </w:rPr>
      </w:pPr>
      <w:r w:rsidRPr="0006777A">
        <w:rPr>
          <w:rFonts w:asciiTheme="minorHAnsi" w:eastAsia="Times New Roman" w:hAnsiTheme="minorHAnsi" w:cstheme="minorHAnsi"/>
          <w:b/>
          <w:sz w:val="22"/>
          <w:lang w:eastAsia="hr-HR"/>
        </w:rPr>
        <w:t>POVEZANOST PROGRAMA SA STRATEŠKIM DOKUMENTOM</w:t>
      </w:r>
    </w:p>
    <w:p w14:paraId="0BA5EA26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Cs/>
          <w:sz w:val="22"/>
        </w:rPr>
      </w:pPr>
      <w:r w:rsidRPr="0006777A">
        <w:rPr>
          <w:rFonts w:asciiTheme="minorHAnsi" w:eastAsia="Times New Roman" w:hAnsiTheme="minorHAnsi" w:cstheme="minorHAnsi"/>
          <w:bCs/>
          <w:sz w:val="22"/>
        </w:rPr>
        <w:t>Program građenja zajedno s pripadajućim aktivnostima u „Provedbenom programu Dubrovačko-neretvanske županije za razdoblje do 2025. godine“, iz prosinca 2021., spadaju pod</w:t>
      </w:r>
    </w:p>
    <w:p w14:paraId="771465C7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Cs/>
          <w:sz w:val="22"/>
        </w:rPr>
      </w:pPr>
      <w:r w:rsidRPr="0006777A">
        <w:rPr>
          <w:rFonts w:asciiTheme="minorHAnsi" w:eastAsia="Times New Roman" w:hAnsiTheme="minorHAnsi" w:cstheme="minorHAnsi"/>
          <w:bCs/>
          <w:sz w:val="22"/>
        </w:rPr>
        <w:t>cilj - 4.1. Razvoj sustava prostornog planiranja i upravljanja imovinom te jačanje kvalitete institucija u javnom sektoru, mjeru - 4.1.2. – Razvoj sustava prostornog planiranja i upravljanja imovinom.</w:t>
      </w:r>
    </w:p>
    <w:p w14:paraId="6491896A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Cs/>
          <w:sz w:val="22"/>
        </w:rPr>
      </w:pPr>
    </w:p>
    <w:p w14:paraId="3E5186BE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ZAKONSKE I DRUGE PODLOGE NA KOJIMA SE PROGRAM ZASNIVA</w:t>
      </w:r>
      <w:r w:rsidRPr="0006777A">
        <w:rPr>
          <w:rFonts w:asciiTheme="minorHAnsi" w:eastAsia="Times New Roman" w:hAnsiTheme="minorHAnsi" w:cstheme="minorHAnsi"/>
          <w:sz w:val="22"/>
        </w:rPr>
        <w:t>: Zakon o prostornom uređenju, Zakon o zaštiti i očuvanju kulturnih dobara, Zakon o zaštiti okoliša i Zakon o zaštiti prirode.</w:t>
      </w:r>
    </w:p>
    <w:p w14:paraId="58AAFBB1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rPr>
          <w:rFonts w:asciiTheme="minorHAnsi" w:eastAsia="Times New Roman" w:hAnsiTheme="minorHAnsi" w:cstheme="minorHAnsi"/>
          <w:sz w:val="22"/>
        </w:rPr>
      </w:pPr>
    </w:p>
    <w:p w14:paraId="328698E2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outlineLvl w:val="0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 xml:space="preserve">NOSITELJ AKTIVNOSTI: </w:t>
      </w:r>
      <w:r w:rsidRPr="0006777A">
        <w:rPr>
          <w:rFonts w:asciiTheme="minorHAnsi" w:eastAsia="Times New Roman" w:hAnsiTheme="minorHAnsi" w:cstheme="minorHAnsi"/>
          <w:sz w:val="22"/>
        </w:rPr>
        <w:t>Dubrovačko-neretvanska županija - Upravni odjel za prostorno uređenje i gradnju.</w:t>
      </w:r>
    </w:p>
    <w:p w14:paraId="70A3D8EF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58C649ED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ISHODIŠTE I POKAZATELJI NA KOJIMA SE ZASNIVAJU IZRAČUNI I OCJENE POTREBNIH SREDSTAVA ZA PROVOĐENJE PROGRAMA:</w:t>
      </w:r>
    </w:p>
    <w:p w14:paraId="4A0EE1BD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Cs/>
          <w:sz w:val="22"/>
        </w:rPr>
      </w:pPr>
      <w:r w:rsidRPr="0006777A">
        <w:rPr>
          <w:rFonts w:asciiTheme="minorHAnsi" w:eastAsia="Times New Roman" w:hAnsiTheme="minorHAnsi" w:cstheme="minorHAnsi"/>
          <w:bCs/>
          <w:sz w:val="22"/>
        </w:rPr>
        <w:t>Planske veličine su određene u predloženim iznosima temeljem podataka iz prethodne proračunske godine.</w:t>
      </w:r>
    </w:p>
    <w:p w14:paraId="37F6E4EE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15B94D10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IZVJEŠTAJ O POSTIGNUTIM CILJEVIMA I REZULTATIMA PROGRAMA TEMELJENIM NA POKAZATELJIMA USPJEŠNOSTI U PRETHODNOJ GODINI</w:t>
      </w:r>
    </w:p>
    <w:p w14:paraId="00CE270C" w14:textId="77777777" w:rsidR="0006777A" w:rsidRPr="0006777A" w:rsidRDefault="0006777A" w:rsidP="0006777A">
      <w:pPr>
        <w:jc w:val="both"/>
        <w:rPr>
          <w:rFonts w:asciiTheme="minorHAnsi" w:eastAsia="Times New Roman" w:hAnsiTheme="minorHAnsi" w:cstheme="minorHAnsi"/>
          <w:sz w:val="22"/>
          <w:lang w:eastAsia="hr-HR"/>
        </w:rPr>
      </w:pPr>
      <w:r w:rsidRPr="0006777A">
        <w:rPr>
          <w:rFonts w:asciiTheme="minorHAnsi" w:eastAsia="Times New Roman" w:hAnsiTheme="minorHAnsi" w:cstheme="minorHAnsi"/>
          <w:sz w:val="22"/>
          <w:lang w:eastAsia="hr-HR"/>
        </w:rPr>
        <w:t xml:space="preserve">Planirana sredstva utrošena su na plaće i ostale rashode za zaposlene kao i materijalne rashode i opremu za provođenje redovitih programa Zavoda (izdavanje zahtjeva, mišljenja, ažuriranje web stranice Zavoda, obrada i slanje podataka za DPPR i ISPU itd. kao i održavanje opreme, sustava elektroničkih komunikacija, članarina za licence, rada Upravnog vijeća, računovodstvenog servisa itd.). </w:t>
      </w:r>
    </w:p>
    <w:p w14:paraId="7FBCAEBA" w14:textId="77777777" w:rsidR="0006777A" w:rsidRDefault="0006777A" w:rsidP="0006777A">
      <w:pPr>
        <w:jc w:val="both"/>
        <w:rPr>
          <w:rFonts w:asciiTheme="minorHAnsi" w:eastAsia="Times New Roman" w:hAnsiTheme="minorHAnsi" w:cstheme="minorHAnsi"/>
          <w:bCs/>
          <w:sz w:val="22"/>
        </w:rPr>
      </w:pPr>
    </w:p>
    <w:p w14:paraId="7C759AF3" w14:textId="77777777" w:rsidR="0006777A" w:rsidRDefault="0006777A" w:rsidP="0006777A">
      <w:pPr>
        <w:jc w:val="both"/>
        <w:rPr>
          <w:rFonts w:asciiTheme="minorHAnsi" w:eastAsia="Times New Roman" w:hAnsiTheme="minorHAnsi" w:cstheme="minorHAnsi"/>
          <w:bCs/>
          <w:sz w:val="22"/>
        </w:rPr>
      </w:pPr>
    </w:p>
    <w:p w14:paraId="4083A720" w14:textId="77777777" w:rsidR="0006777A" w:rsidRDefault="0006777A" w:rsidP="0006777A">
      <w:pPr>
        <w:jc w:val="both"/>
        <w:rPr>
          <w:rFonts w:asciiTheme="minorHAnsi" w:eastAsia="Times New Roman" w:hAnsiTheme="minorHAnsi" w:cstheme="minorHAnsi"/>
          <w:bCs/>
          <w:sz w:val="22"/>
        </w:rPr>
      </w:pPr>
    </w:p>
    <w:p w14:paraId="02F94809" w14:textId="77777777" w:rsidR="0006777A" w:rsidRPr="0006777A" w:rsidRDefault="0006777A" w:rsidP="0006777A">
      <w:pPr>
        <w:jc w:val="both"/>
        <w:rPr>
          <w:rFonts w:asciiTheme="minorHAnsi" w:eastAsia="Times New Roman" w:hAnsiTheme="minorHAnsi" w:cstheme="minorHAnsi"/>
          <w:bCs/>
          <w:sz w:val="22"/>
        </w:rPr>
      </w:pPr>
    </w:p>
    <w:p w14:paraId="04881EB2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lastRenderedPageBreak/>
        <w:t>NAČIN I SREDSTVA ZA REALIZACIJU PROGRAMA: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593"/>
        <w:gridCol w:w="1984"/>
        <w:gridCol w:w="1843"/>
        <w:gridCol w:w="1984"/>
      </w:tblGrid>
      <w:tr w:rsidR="0006777A" w:rsidRPr="0006777A" w14:paraId="116E3AF6" w14:textId="77777777" w:rsidTr="008E66F1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0E3ABF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Rb.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F0B868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Naziv aktivnosti / projekta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DF53E8" w14:textId="77777777" w:rsidR="0006777A" w:rsidRPr="0006777A" w:rsidRDefault="0006777A" w:rsidP="0006777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I. REBALANS 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A2DB39" w14:textId="77777777" w:rsidR="0006777A" w:rsidRPr="0006777A" w:rsidRDefault="0006777A" w:rsidP="0006777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PROMJENA IZNOSA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C101C9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II. REBALANS 2024.</w:t>
            </w:r>
          </w:p>
        </w:tc>
      </w:tr>
      <w:tr w:rsidR="0006777A" w:rsidRPr="0006777A" w14:paraId="568EB347" w14:textId="77777777" w:rsidTr="008E66F1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B905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E3DD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Plaće i ostali rashodi za zaposlene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501A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332.078,00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E5D7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58.300,00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E44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390.378,00</w:t>
            </w:r>
          </w:p>
        </w:tc>
      </w:tr>
      <w:tr w:rsidR="0006777A" w:rsidRPr="0006777A" w14:paraId="4F18AA39" w14:textId="77777777" w:rsidTr="008E66F1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9D0F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2.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225D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Materijalni rashodi i oprema za provođenje programa JU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226C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58.489,00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84DF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-1.000,00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0765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57.489,00</w:t>
            </w:r>
          </w:p>
        </w:tc>
      </w:tr>
      <w:tr w:rsidR="0006777A" w:rsidRPr="0006777A" w14:paraId="7D223CDB" w14:textId="77777777" w:rsidTr="008E66F1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7225B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3FDA1C6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Ukupno program: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743402EB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390.567,00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A60DF5F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+57,300,00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4165E580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447.867,00</w:t>
            </w:r>
          </w:p>
        </w:tc>
      </w:tr>
    </w:tbl>
    <w:p w14:paraId="2585AA33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13DF3E1F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RAZLOG ODSTUPANJA OD PROŠLOGODIŠNJIH PROJEKCIJA</w:t>
      </w:r>
      <w:r w:rsidRPr="0006777A">
        <w:rPr>
          <w:rFonts w:asciiTheme="minorHAnsi" w:eastAsia="Times New Roman" w:hAnsiTheme="minorHAnsi" w:cstheme="minorHAnsi"/>
          <w:sz w:val="22"/>
        </w:rPr>
        <w:t xml:space="preserve">: </w:t>
      </w:r>
    </w:p>
    <w:p w14:paraId="765EEBB2" w14:textId="77777777" w:rsidR="0006777A" w:rsidRPr="0006777A" w:rsidRDefault="0006777A" w:rsidP="000677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Rebalans se odnosi na traženje sredstava (46.500,00 eura) za Plaće zaposlenika s obzirom na povećanje osnovice.</w:t>
      </w:r>
    </w:p>
    <w:p w14:paraId="328513F6" w14:textId="304D26BC" w:rsidR="0006777A" w:rsidRPr="0006777A" w:rsidRDefault="0006777A" w:rsidP="0006777A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</w:rPr>
      </w:pPr>
    </w:p>
    <w:p w14:paraId="365B876E" w14:textId="77777777" w:rsidR="0006777A" w:rsidRPr="0006777A" w:rsidRDefault="0006777A" w:rsidP="0006777A">
      <w:pPr>
        <w:pBdr>
          <w:bottom w:val="single" w:sz="12" w:space="1" w:color="auto"/>
        </w:pBd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NAZIV PROGRAMA: PROGRAM PROSTORNOG PLANIRANJA I ODRŽIVOG RAZVOJA</w:t>
      </w:r>
    </w:p>
    <w:p w14:paraId="7067503D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467E26BA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70A07D11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 xml:space="preserve">OPĆI CILJ: </w:t>
      </w:r>
      <w:r w:rsidRPr="0006777A">
        <w:rPr>
          <w:rFonts w:asciiTheme="minorHAnsi" w:eastAsia="Times New Roman" w:hAnsiTheme="minorHAnsi" w:cstheme="minorHAnsi"/>
          <w:sz w:val="22"/>
        </w:rPr>
        <w:t>Obavljanje poslova koji su Zakonima stavljeni u nadležnost Zavoda.</w:t>
      </w:r>
    </w:p>
    <w:p w14:paraId="57EAEAAA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6A394E67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 xml:space="preserve">POSEBNI CILJ: </w:t>
      </w:r>
    </w:p>
    <w:p w14:paraId="3381ACAC" w14:textId="77777777" w:rsidR="0006777A" w:rsidRPr="0006777A" w:rsidRDefault="0006777A" w:rsidP="0006777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Izrada Ciljanih Izmjena i dopuna Prostornog plana DNŽ</w:t>
      </w:r>
    </w:p>
    <w:p w14:paraId="10CA0181" w14:textId="77777777" w:rsidR="0006777A" w:rsidRPr="0006777A" w:rsidRDefault="0006777A" w:rsidP="0006777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Izrada PP NP Mljet</w:t>
      </w:r>
    </w:p>
    <w:p w14:paraId="30A85C20" w14:textId="77777777" w:rsidR="0006777A" w:rsidRPr="0006777A" w:rsidRDefault="0006777A" w:rsidP="0006777A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Stručno-analitički poslovi za izradu PP IGP RH u JM, te obrada planova za ISPU i DPPR</w:t>
      </w:r>
    </w:p>
    <w:p w14:paraId="45E2FC2F" w14:textId="77777777" w:rsidR="0006777A" w:rsidRPr="0006777A" w:rsidRDefault="0006777A" w:rsidP="0006777A">
      <w:pPr>
        <w:numPr>
          <w:ilvl w:val="0"/>
          <w:numId w:val="13"/>
        </w:numPr>
        <w:shd w:val="clear" w:color="auto" w:fill="FFFFFF"/>
        <w:jc w:val="both"/>
        <w:outlineLvl w:val="0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Stručno-analitički poslovi za izradu UPU Dubrovnik s Lokrumom</w:t>
      </w:r>
    </w:p>
    <w:p w14:paraId="2FF178A2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sz w:val="22"/>
          <w:lang w:eastAsia="hr-HR"/>
        </w:rPr>
      </w:pPr>
    </w:p>
    <w:p w14:paraId="5DADA55C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sz w:val="22"/>
          <w:lang w:eastAsia="hr-HR"/>
        </w:rPr>
      </w:pPr>
      <w:r w:rsidRPr="0006777A">
        <w:rPr>
          <w:rFonts w:asciiTheme="minorHAnsi" w:eastAsia="Times New Roman" w:hAnsiTheme="minorHAnsi" w:cstheme="minorHAnsi"/>
          <w:b/>
          <w:sz w:val="22"/>
          <w:lang w:eastAsia="hr-HR"/>
        </w:rPr>
        <w:t>POVEZANOST PROGRAMA SA STRATEŠKIM DOKUMENTOM</w:t>
      </w:r>
    </w:p>
    <w:p w14:paraId="69AD9156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Cs/>
          <w:sz w:val="22"/>
        </w:rPr>
      </w:pPr>
      <w:r w:rsidRPr="0006777A">
        <w:rPr>
          <w:rFonts w:asciiTheme="minorHAnsi" w:eastAsia="Times New Roman" w:hAnsiTheme="minorHAnsi" w:cstheme="minorHAnsi"/>
          <w:bCs/>
          <w:sz w:val="22"/>
        </w:rPr>
        <w:t>Program prostornog planiranja zajedno s pripadajućim aktivnostima u „Provedbenom programu Dubrovačko-neretvanske županije za razdoblje do 2025. godine“, iz prosinca 2021., spadaju pod cilj - 4.1. Razvoj sustava prostornog planiranja i upravljanja imovinom te jačanje kvalitete institucija u javnom sektoru, mjeru - 4.1.2. – Razvoj sustava prostornog planiranja i upravljanja imovinom.</w:t>
      </w:r>
    </w:p>
    <w:p w14:paraId="42AD850E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  <w:lang w:eastAsia="hr-HR"/>
        </w:rPr>
      </w:pPr>
    </w:p>
    <w:p w14:paraId="15D64ABF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ZAKONSKE I DRUGE PODLOGE NA KOJIMA SE PROGRAM ZASNIVA</w:t>
      </w:r>
      <w:r w:rsidRPr="0006777A">
        <w:rPr>
          <w:rFonts w:asciiTheme="minorHAnsi" w:eastAsia="Times New Roman" w:hAnsiTheme="minorHAnsi" w:cstheme="minorHAnsi"/>
          <w:sz w:val="22"/>
        </w:rPr>
        <w:t>: Zakon o prostornom uređenju, Zakon o zaštiti i očuvanju kulturnih dobara, Zakon o zaštiti okoliša i Zakon o zaštiti prirode.</w:t>
      </w:r>
    </w:p>
    <w:p w14:paraId="58FE4100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rPr>
          <w:rFonts w:asciiTheme="minorHAnsi" w:eastAsia="Times New Roman" w:hAnsiTheme="minorHAnsi" w:cstheme="minorHAnsi"/>
          <w:sz w:val="22"/>
        </w:rPr>
      </w:pPr>
    </w:p>
    <w:p w14:paraId="2D107F02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b/>
          <w:bCs/>
          <w:sz w:val="22"/>
          <w:lang w:eastAsia="hr-HR"/>
        </w:rPr>
        <w:t xml:space="preserve">NOSITELJ AKTIVNOSTI: </w:t>
      </w:r>
      <w:r w:rsidRPr="0006777A">
        <w:rPr>
          <w:rFonts w:asciiTheme="minorHAnsi" w:hAnsiTheme="minorHAnsi" w:cstheme="minorHAnsi"/>
          <w:sz w:val="22"/>
          <w:lang w:eastAsia="hr-HR"/>
        </w:rPr>
        <w:t>Dubrovačko-neretvanska županija - Upravni odjel za prostorno uređenje i</w:t>
      </w:r>
    </w:p>
    <w:p w14:paraId="6CE539AE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gradnju, MPGI – Zavod za prostorni razvoj, Zavod za prostorno uređenje DNŽ.</w:t>
      </w:r>
    </w:p>
    <w:p w14:paraId="30E2ACC4" w14:textId="77777777" w:rsidR="0006777A" w:rsidRPr="0006777A" w:rsidRDefault="0006777A" w:rsidP="0006777A">
      <w:pPr>
        <w:shd w:val="clear" w:color="auto" w:fill="FFFFFF"/>
        <w:tabs>
          <w:tab w:val="left" w:pos="1643"/>
        </w:tabs>
        <w:jc w:val="both"/>
        <w:outlineLvl w:val="0"/>
        <w:rPr>
          <w:rFonts w:asciiTheme="minorHAnsi" w:eastAsia="Times New Roman" w:hAnsiTheme="minorHAnsi" w:cstheme="minorHAnsi"/>
          <w:sz w:val="22"/>
        </w:rPr>
      </w:pPr>
    </w:p>
    <w:p w14:paraId="030AAC0E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ISHODIŠTE I POKAZATELJI NA KOJIMA SE ZASNIVAJU IZRAČUNI I OCJENE POTREBNIH SREDSTAVA ZA PROVOĐENJE PROGRAMA:</w:t>
      </w:r>
    </w:p>
    <w:p w14:paraId="4B774830" w14:textId="77777777" w:rsidR="0006777A" w:rsidRPr="0006777A" w:rsidRDefault="0006777A" w:rsidP="000677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Planske veličine su određene u predloženim iznosima temeljem raspoloživih limita planiranih za Ciljane Izmjene i dopune Prostornog plana DNŽ (DNŽ), PP NP Mljet, Stručno-analitičku podlogu za IGP, ISPU, DPPR te Stručno-analitičke poslove za izradu UPU-a Dubrovnik s Lokrumom.</w:t>
      </w:r>
    </w:p>
    <w:p w14:paraId="3A192EA2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731EDB7C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IZVJEŠTAJ O POSTIGNUTIM CILJEVIMA I REZULTATIMA PROGRAMA TEMELJENIM NA POKAZATELJIMA USPJEŠNOSTI U PRETHODNOJ GODINI</w:t>
      </w:r>
    </w:p>
    <w:p w14:paraId="01D70DB3" w14:textId="77777777" w:rsidR="0006777A" w:rsidRPr="0006777A" w:rsidRDefault="0006777A" w:rsidP="000677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Organizacija i ostvarenje konferencije o prostornom planiranju morskog područja i susreti jadrasnkih zavoda, Izrada nacrta prijedloga CIDPPDNŽ za potrebe izrade SPUO, izrada nacrta prijedloga PP NP Mljet.</w:t>
      </w:r>
    </w:p>
    <w:p w14:paraId="32354400" w14:textId="77777777" w:rsid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4A75B74A" w14:textId="77777777" w:rsid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65E8E210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</w:p>
    <w:p w14:paraId="407E81C7" w14:textId="77777777" w:rsidR="0006777A" w:rsidRPr="0006777A" w:rsidRDefault="0006777A" w:rsidP="0006777A">
      <w:pPr>
        <w:shd w:val="clear" w:color="auto" w:fill="FFFFFF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lastRenderedPageBreak/>
        <w:t>NAČIN I SREDSTVA ZA REALIZACIJU PROGRAMA: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301"/>
        <w:gridCol w:w="1990"/>
        <w:gridCol w:w="1419"/>
        <w:gridCol w:w="1841"/>
      </w:tblGrid>
      <w:tr w:rsidR="0006777A" w:rsidRPr="0006777A" w14:paraId="3AB5F5A7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458E9A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Rb.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7C8596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Naziv aktivnosti / projekta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1D8497" w14:textId="77777777" w:rsidR="0006777A" w:rsidRPr="0006777A" w:rsidRDefault="0006777A" w:rsidP="0006777A">
            <w:pPr>
              <w:jc w:val="lef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I. REBALANS 2024.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745811" w14:textId="77777777" w:rsidR="0006777A" w:rsidRPr="0006777A" w:rsidRDefault="0006777A" w:rsidP="0006777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PROMJENA IZNOSA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635B64" w14:textId="77777777" w:rsidR="0006777A" w:rsidRPr="0006777A" w:rsidRDefault="0006777A" w:rsidP="0006777A">
            <w:pPr>
              <w:ind w:left="-102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II. REBALANS 2024.</w:t>
            </w:r>
          </w:p>
        </w:tc>
      </w:tr>
      <w:tr w:rsidR="0006777A" w:rsidRPr="0006777A" w14:paraId="19F45EBD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D7EA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1A74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IDPPDNŽ – stručna podloga – analize i ocjene postojećeg stanja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A417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14.000,00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D8ED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-10.800,00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DC62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3.200,00</w:t>
            </w:r>
          </w:p>
        </w:tc>
      </w:tr>
      <w:tr w:rsidR="0006777A" w:rsidRPr="0006777A" w14:paraId="37FCEFA9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8E8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DABB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Vanjska djelatnost ZZPUDNZ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E15F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9.600,00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BE25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8577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9.600,00</w:t>
            </w:r>
          </w:p>
        </w:tc>
      </w:tr>
      <w:tr w:rsidR="0006777A" w:rsidRPr="0006777A" w14:paraId="50C8E895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0088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4EF4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Prostorni plan NP Mljet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AFB3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25.808,00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1D53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-8.500,00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D4F1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17.308,00</w:t>
            </w:r>
          </w:p>
        </w:tc>
      </w:tr>
      <w:tr w:rsidR="0006777A" w:rsidRPr="0006777A" w14:paraId="79506E50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7D76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EFD6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Stručna podloga IGP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A1A9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66.892,00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DB8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24.616,32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8712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91.508,32</w:t>
            </w:r>
          </w:p>
        </w:tc>
      </w:tr>
      <w:tr w:rsidR="0006777A" w:rsidRPr="0006777A" w14:paraId="05EEDAC3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CC8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5919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Stručna podloga DUBROVNIK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091E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24.700,00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B975" w14:textId="77777777" w:rsidR="0006777A" w:rsidRPr="0006777A" w:rsidRDefault="0006777A" w:rsidP="0006777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-16.116,32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BD8E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hAnsiTheme="minorHAnsi" w:cstheme="minorHAnsi"/>
                <w:b/>
                <w:bCs/>
                <w:sz w:val="22"/>
                <w:lang w:eastAsia="hr-HR"/>
              </w:rPr>
              <w:t>8.583,68</w:t>
            </w:r>
          </w:p>
        </w:tc>
      </w:tr>
      <w:tr w:rsidR="0006777A" w:rsidRPr="0006777A" w14:paraId="6350418B" w14:textId="77777777" w:rsidTr="008E66F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74B2D27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A10017D" w14:textId="77777777" w:rsidR="0006777A" w:rsidRPr="0006777A" w:rsidRDefault="0006777A" w:rsidP="0006777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Ukupno program: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3160DD3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="Calibri" w:eastAsia="Times New Roman" w:hAnsi="Calibri"/>
                <w:b/>
                <w:bCs/>
                <w:sz w:val="22"/>
              </w:rPr>
              <w:t>141.000,00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01D2354" w14:textId="77777777" w:rsidR="0006777A" w:rsidRPr="0006777A" w:rsidRDefault="0006777A" w:rsidP="0006777A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-10.800,00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8E138E4" w14:textId="77777777" w:rsidR="0006777A" w:rsidRPr="0006777A" w:rsidRDefault="0006777A" w:rsidP="0006777A">
            <w:pPr>
              <w:ind w:left="-102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</w:rPr>
            </w:pPr>
            <w:r w:rsidRPr="0006777A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130.200,00</w:t>
            </w:r>
          </w:p>
        </w:tc>
      </w:tr>
    </w:tbl>
    <w:p w14:paraId="18EF4C9D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sz w:val="22"/>
        </w:rPr>
      </w:pPr>
    </w:p>
    <w:p w14:paraId="2F5AD1B8" w14:textId="77777777" w:rsidR="0006777A" w:rsidRPr="0006777A" w:rsidRDefault="0006777A" w:rsidP="0006777A">
      <w:pPr>
        <w:shd w:val="clear" w:color="auto" w:fill="FFFFFF"/>
        <w:jc w:val="both"/>
        <w:rPr>
          <w:rFonts w:asciiTheme="minorHAnsi" w:eastAsia="Times New Roman" w:hAnsiTheme="minorHAnsi" w:cstheme="minorHAnsi"/>
          <w:sz w:val="22"/>
        </w:rPr>
      </w:pPr>
      <w:r w:rsidRPr="0006777A">
        <w:rPr>
          <w:rFonts w:asciiTheme="minorHAnsi" w:eastAsia="Times New Roman" w:hAnsiTheme="minorHAnsi" w:cstheme="minorHAnsi"/>
          <w:b/>
          <w:bCs/>
          <w:sz w:val="22"/>
        </w:rPr>
        <w:t>RAZLOG ODSTUPANJA OD PROŠLOGODIŠNJIH PROJEKCIJA</w:t>
      </w:r>
      <w:r w:rsidRPr="0006777A">
        <w:rPr>
          <w:rFonts w:asciiTheme="minorHAnsi" w:eastAsia="Times New Roman" w:hAnsiTheme="minorHAnsi" w:cstheme="minorHAnsi"/>
          <w:sz w:val="22"/>
        </w:rPr>
        <w:t>:</w:t>
      </w:r>
    </w:p>
    <w:p w14:paraId="4A2C398A" w14:textId="77777777" w:rsidR="0006777A" w:rsidRPr="0006777A" w:rsidRDefault="0006777A" w:rsidP="0006777A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Prenesena sredstva iz prethodne godine nisu bila realno prikazana</w:t>
      </w:r>
    </w:p>
    <w:p w14:paraId="1DA837BB" w14:textId="77777777" w:rsidR="0006777A" w:rsidRPr="0006777A" w:rsidRDefault="0006777A" w:rsidP="0006777A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lang w:eastAsia="hr-HR"/>
        </w:rPr>
      </w:pPr>
      <w:r w:rsidRPr="0006777A">
        <w:rPr>
          <w:rFonts w:asciiTheme="minorHAnsi" w:hAnsiTheme="minorHAnsi" w:cstheme="minorHAnsi"/>
          <w:sz w:val="22"/>
          <w:lang w:eastAsia="hr-HR"/>
        </w:rPr>
        <w:t>Ostali rebalans se odnosi na preraspodjelu manjih iznosa unutar pojedinih konta utvrđenih postojećim Planom.</w:t>
      </w:r>
    </w:p>
    <w:p w14:paraId="4E6903DA" w14:textId="77777777" w:rsidR="00062155" w:rsidRPr="00CD121A" w:rsidRDefault="00062155" w:rsidP="00CB4537">
      <w:pPr>
        <w:pStyle w:val="NoSpacing"/>
        <w:rPr>
          <w:rFonts w:cs="Calibri"/>
          <w:sz w:val="24"/>
          <w:szCs w:val="24"/>
        </w:rPr>
      </w:pPr>
    </w:p>
    <w:sectPr w:rsidR="00062155" w:rsidRPr="00CD121A" w:rsidSect="00ED6B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FC2DF" w14:textId="77777777" w:rsidR="00BD14F1" w:rsidRDefault="00BD14F1" w:rsidP="00992AC4">
      <w:r>
        <w:separator/>
      </w:r>
    </w:p>
  </w:endnote>
  <w:endnote w:type="continuationSeparator" w:id="0">
    <w:p w14:paraId="6BB813FE" w14:textId="77777777" w:rsidR="00BD14F1" w:rsidRDefault="00BD14F1" w:rsidP="0099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22000" w14:textId="77777777" w:rsidR="00992AC4" w:rsidRDefault="002F684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1F94">
      <w:rPr>
        <w:noProof/>
      </w:rPr>
      <w:t>2</w:t>
    </w:r>
    <w:r>
      <w:rPr>
        <w:noProof/>
      </w:rPr>
      <w:fldChar w:fldCharType="end"/>
    </w:r>
  </w:p>
  <w:p w14:paraId="2CB2AA2B" w14:textId="77777777" w:rsidR="00992AC4" w:rsidRDefault="00992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39CD0" w14:textId="77777777" w:rsidR="00BD14F1" w:rsidRDefault="00BD14F1" w:rsidP="00992AC4">
      <w:r>
        <w:separator/>
      </w:r>
    </w:p>
  </w:footnote>
  <w:footnote w:type="continuationSeparator" w:id="0">
    <w:p w14:paraId="03062771" w14:textId="77777777" w:rsidR="00BD14F1" w:rsidRDefault="00BD14F1" w:rsidP="00992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37B"/>
    <w:multiLevelType w:val="hybridMultilevel"/>
    <w:tmpl w:val="F6B04A84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52D4F"/>
    <w:multiLevelType w:val="hybridMultilevel"/>
    <w:tmpl w:val="E1C287AE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07F44"/>
    <w:multiLevelType w:val="hybridMultilevel"/>
    <w:tmpl w:val="597EC17C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249008A4">
      <w:numFmt w:val="bullet"/>
      <w:lvlText w:val="−"/>
      <w:lvlJc w:val="left"/>
      <w:pPr>
        <w:ind w:left="1080" w:hanging="360"/>
      </w:pPr>
      <w:rPr>
        <w:rFonts w:ascii="SymbolMT" w:eastAsia="Calibri" w:hAnsi="SymbolMT" w:cs="SymbolMT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DE16BD"/>
    <w:multiLevelType w:val="multilevel"/>
    <w:tmpl w:val="179A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B3175"/>
    <w:multiLevelType w:val="hybridMultilevel"/>
    <w:tmpl w:val="0B2C12E4"/>
    <w:lvl w:ilvl="0" w:tplc="DF4859D0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A454F"/>
    <w:multiLevelType w:val="hybridMultilevel"/>
    <w:tmpl w:val="420E64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06E7"/>
    <w:multiLevelType w:val="hybridMultilevel"/>
    <w:tmpl w:val="DBB41478"/>
    <w:lvl w:ilvl="0" w:tplc="6302C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84DA7"/>
    <w:multiLevelType w:val="hybridMultilevel"/>
    <w:tmpl w:val="8C563546"/>
    <w:lvl w:ilvl="0" w:tplc="DF4859D0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0831672">
    <w:abstractNumId w:val="8"/>
  </w:num>
  <w:num w:numId="2" w16cid:durableId="1670523476">
    <w:abstractNumId w:val="9"/>
  </w:num>
  <w:num w:numId="3" w16cid:durableId="1810122076">
    <w:abstractNumId w:val="6"/>
  </w:num>
  <w:num w:numId="4" w16cid:durableId="1275821610">
    <w:abstractNumId w:val="11"/>
  </w:num>
  <w:num w:numId="5" w16cid:durableId="875777713">
    <w:abstractNumId w:val="10"/>
  </w:num>
  <w:num w:numId="6" w16cid:durableId="1043792998">
    <w:abstractNumId w:val="3"/>
  </w:num>
  <w:num w:numId="7" w16cid:durableId="1737319475">
    <w:abstractNumId w:val="5"/>
  </w:num>
  <w:num w:numId="8" w16cid:durableId="1401907991">
    <w:abstractNumId w:val="7"/>
  </w:num>
  <w:num w:numId="9" w16cid:durableId="2112165260">
    <w:abstractNumId w:val="4"/>
  </w:num>
  <w:num w:numId="10" w16cid:durableId="1074014075">
    <w:abstractNumId w:val="2"/>
  </w:num>
  <w:num w:numId="11" w16cid:durableId="1832872819">
    <w:abstractNumId w:val="12"/>
  </w:num>
  <w:num w:numId="12" w16cid:durableId="773548922">
    <w:abstractNumId w:val="1"/>
  </w:num>
  <w:num w:numId="13" w16cid:durableId="1683241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354"/>
    <w:rsid w:val="000005EC"/>
    <w:rsid w:val="00003877"/>
    <w:rsid w:val="00013722"/>
    <w:rsid w:val="000258EE"/>
    <w:rsid w:val="00031758"/>
    <w:rsid w:val="00042555"/>
    <w:rsid w:val="0005016A"/>
    <w:rsid w:val="00052453"/>
    <w:rsid w:val="000554F6"/>
    <w:rsid w:val="00062155"/>
    <w:rsid w:val="000670D0"/>
    <w:rsid w:val="0006777A"/>
    <w:rsid w:val="00070129"/>
    <w:rsid w:val="00071E83"/>
    <w:rsid w:val="00073837"/>
    <w:rsid w:val="0007495B"/>
    <w:rsid w:val="00074BEF"/>
    <w:rsid w:val="00077B4D"/>
    <w:rsid w:val="00081CC8"/>
    <w:rsid w:val="00084CD7"/>
    <w:rsid w:val="00092AE5"/>
    <w:rsid w:val="000A1C96"/>
    <w:rsid w:val="000A49E6"/>
    <w:rsid w:val="000C5F9B"/>
    <w:rsid w:val="000D1E97"/>
    <w:rsid w:val="000D367D"/>
    <w:rsid w:val="000D7058"/>
    <w:rsid w:val="000E592F"/>
    <w:rsid w:val="000E5ACF"/>
    <w:rsid w:val="000F192A"/>
    <w:rsid w:val="000F2D71"/>
    <w:rsid w:val="000F3245"/>
    <w:rsid w:val="000F7489"/>
    <w:rsid w:val="00101DFE"/>
    <w:rsid w:val="00104C60"/>
    <w:rsid w:val="0010584B"/>
    <w:rsid w:val="00105E18"/>
    <w:rsid w:val="00112975"/>
    <w:rsid w:val="0012506A"/>
    <w:rsid w:val="001328E7"/>
    <w:rsid w:val="001336BD"/>
    <w:rsid w:val="00136503"/>
    <w:rsid w:val="00141A93"/>
    <w:rsid w:val="001435DE"/>
    <w:rsid w:val="00150139"/>
    <w:rsid w:val="00151B47"/>
    <w:rsid w:val="00153C49"/>
    <w:rsid w:val="00153F64"/>
    <w:rsid w:val="00161351"/>
    <w:rsid w:val="00161353"/>
    <w:rsid w:val="00171729"/>
    <w:rsid w:val="00171C19"/>
    <w:rsid w:val="00177312"/>
    <w:rsid w:val="001842D3"/>
    <w:rsid w:val="00184615"/>
    <w:rsid w:val="00185E9C"/>
    <w:rsid w:val="00196066"/>
    <w:rsid w:val="0019660F"/>
    <w:rsid w:val="001A2577"/>
    <w:rsid w:val="001B3204"/>
    <w:rsid w:val="001B35FB"/>
    <w:rsid w:val="001C1E86"/>
    <w:rsid w:val="001C437A"/>
    <w:rsid w:val="001F0919"/>
    <w:rsid w:val="001F1AED"/>
    <w:rsid w:val="001F42D0"/>
    <w:rsid w:val="002029C7"/>
    <w:rsid w:val="00205892"/>
    <w:rsid w:val="002069E8"/>
    <w:rsid w:val="00210C4F"/>
    <w:rsid w:val="00212071"/>
    <w:rsid w:val="00212124"/>
    <w:rsid w:val="0021597C"/>
    <w:rsid w:val="00222A64"/>
    <w:rsid w:val="00225B06"/>
    <w:rsid w:val="002313FE"/>
    <w:rsid w:val="002337AD"/>
    <w:rsid w:val="00241AB1"/>
    <w:rsid w:val="00252E04"/>
    <w:rsid w:val="002561EA"/>
    <w:rsid w:val="00260003"/>
    <w:rsid w:val="00262473"/>
    <w:rsid w:val="00266222"/>
    <w:rsid w:val="00271354"/>
    <w:rsid w:val="00272777"/>
    <w:rsid w:val="0027338E"/>
    <w:rsid w:val="002734C4"/>
    <w:rsid w:val="0028066A"/>
    <w:rsid w:val="00283C3D"/>
    <w:rsid w:val="002847DE"/>
    <w:rsid w:val="002861BD"/>
    <w:rsid w:val="00287045"/>
    <w:rsid w:val="002A7485"/>
    <w:rsid w:val="002B08C7"/>
    <w:rsid w:val="002B21F4"/>
    <w:rsid w:val="002B7D78"/>
    <w:rsid w:val="002C1EA7"/>
    <w:rsid w:val="002C43CC"/>
    <w:rsid w:val="002D13DC"/>
    <w:rsid w:val="002D3592"/>
    <w:rsid w:val="002D70D1"/>
    <w:rsid w:val="002E0ED8"/>
    <w:rsid w:val="002E3C81"/>
    <w:rsid w:val="002E40CC"/>
    <w:rsid w:val="002F16F6"/>
    <w:rsid w:val="002F274D"/>
    <w:rsid w:val="002F2D6D"/>
    <w:rsid w:val="002F5E2D"/>
    <w:rsid w:val="002F6847"/>
    <w:rsid w:val="003004DB"/>
    <w:rsid w:val="003060AC"/>
    <w:rsid w:val="00312596"/>
    <w:rsid w:val="00312F96"/>
    <w:rsid w:val="0032461F"/>
    <w:rsid w:val="00325BF2"/>
    <w:rsid w:val="00331AE6"/>
    <w:rsid w:val="0034678E"/>
    <w:rsid w:val="00352DE3"/>
    <w:rsid w:val="00357923"/>
    <w:rsid w:val="00360A1A"/>
    <w:rsid w:val="00360E75"/>
    <w:rsid w:val="003713EB"/>
    <w:rsid w:val="0037185B"/>
    <w:rsid w:val="003718A1"/>
    <w:rsid w:val="003728BC"/>
    <w:rsid w:val="003730AD"/>
    <w:rsid w:val="00381258"/>
    <w:rsid w:val="00385B4C"/>
    <w:rsid w:val="003907C0"/>
    <w:rsid w:val="00395240"/>
    <w:rsid w:val="003A54BE"/>
    <w:rsid w:val="003A646B"/>
    <w:rsid w:val="003B2523"/>
    <w:rsid w:val="003B2BB2"/>
    <w:rsid w:val="003B3A71"/>
    <w:rsid w:val="003B40BE"/>
    <w:rsid w:val="003B40E7"/>
    <w:rsid w:val="003B4122"/>
    <w:rsid w:val="003B4337"/>
    <w:rsid w:val="003C7DF0"/>
    <w:rsid w:val="003D352F"/>
    <w:rsid w:val="003E0CD7"/>
    <w:rsid w:val="003F49D3"/>
    <w:rsid w:val="00402CA2"/>
    <w:rsid w:val="004030E6"/>
    <w:rsid w:val="004108D1"/>
    <w:rsid w:val="004162FE"/>
    <w:rsid w:val="00417405"/>
    <w:rsid w:val="00417DD8"/>
    <w:rsid w:val="00422906"/>
    <w:rsid w:val="00434A11"/>
    <w:rsid w:val="0045269C"/>
    <w:rsid w:val="00455DB4"/>
    <w:rsid w:val="00456179"/>
    <w:rsid w:val="00457877"/>
    <w:rsid w:val="0046206B"/>
    <w:rsid w:val="00463BC7"/>
    <w:rsid w:val="0047458F"/>
    <w:rsid w:val="00475078"/>
    <w:rsid w:val="00484CDA"/>
    <w:rsid w:val="004911F1"/>
    <w:rsid w:val="00491776"/>
    <w:rsid w:val="00491FC4"/>
    <w:rsid w:val="004939CB"/>
    <w:rsid w:val="004950C4"/>
    <w:rsid w:val="004A2007"/>
    <w:rsid w:val="004A66A5"/>
    <w:rsid w:val="004B358D"/>
    <w:rsid w:val="004B60EE"/>
    <w:rsid w:val="004B7962"/>
    <w:rsid w:val="004C000C"/>
    <w:rsid w:val="004C51E3"/>
    <w:rsid w:val="004C6E69"/>
    <w:rsid w:val="004C794F"/>
    <w:rsid w:val="004C7C66"/>
    <w:rsid w:val="004D27CE"/>
    <w:rsid w:val="004D6D19"/>
    <w:rsid w:val="004E0BF0"/>
    <w:rsid w:val="004E29C1"/>
    <w:rsid w:val="004E7A9B"/>
    <w:rsid w:val="004F18E3"/>
    <w:rsid w:val="004F1AF3"/>
    <w:rsid w:val="004F4D1B"/>
    <w:rsid w:val="005131EF"/>
    <w:rsid w:val="00524121"/>
    <w:rsid w:val="00524620"/>
    <w:rsid w:val="00525185"/>
    <w:rsid w:val="00527308"/>
    <w:rsid w:val="005315D1"/>
    <w:rsid w:val="00533803"/>
    <w:rsid w:val="00533F11"/>
    <w:rsid w:val="005356EE"/>
    <w:rsid w:val="005366B7"/>
    <w:rsid w:val="00540325"/>
    <w:rsid w:val="00541FF0"/>
    <w:rsid w:val="005547F7"/>
    <w:rsid w:val="00561222"/>
    <w:rsid w:val="00563F8C"/>
    <w:rsid w:val="00564D55"/>
    <w:rsid w:val="00564EB9"/>
    <w:rsid w:val="00566F6C"/>
    <w:rsid w:val="0056788B"/>
    <w:rsid w:val="005718AC"/>
    <w:rsid w:val="00574835"/>
    <w:rsid w:val="005763E1"/>
    <w:rsid w:val="00582714"/>
    <w:rsid w:val="005852DC"/>
    <w:rsid w:val="00593F97"/>
    <w:rsid w:val="005A3AE2"/>
    <w:rsid w:val="005A6633"/>
    <w:rsid w:val="005B0145"/>
    <w:rsid w:val="005C421F"/>
    <w:rsid w:val="005C4BCB"/>
    <w:rsid w:val="005D582C"/>
    <w:rsid w:val="005F10E1"/>
    <w:rsid w:val="005F5BA6"/>
    <w:rsid w:val="006066CB"/>
    <w:rsid w:val="00611597"/>
    <w:rsid w:val="00612ACB"/>
    <w:rsid w:val="00614174"/>
    <w:rsid w:val="00633A3C"/>
    <w:rsid w:val="00640CD5"/>
    <w:rsid w:val="00643FDB"/>
    <w:rsid w:val="00645CA4"/>
    <w:rsid w:val="0064775E"/>
    <w:rsid w:val="00647EEA"/>
    <w:rsid w:val="00654407"/>
    <w:rsid w:val="00660F31"/>
    <w:rsid w:val="006722B6"/>
    <w:rsid w:val="00673555"/>
    <w:rsid w:val="00673AB3"/>
    <w:rsid w:val="00675CED"/>
    <w:rsid w:val="00682D4E"/>
    <w:rsid w:val="006849F0"/>
    <w:rsid w:val="00690E35"/>
    <w:rsid w:val="006B77F6"/>
    <w:rsid w:val="006B7A00"/>
    <w:rsid w:val="006C10DA"/>
    <w:rsid w:val="006C1205"/>
    <w:rsid w:val="006C2242"/>
    <w:rsid w:val="006D1778"/>
    <w:rsid w:val="006E5B7D"/>
    <w:rsid w:val="006E6A63"/>
    <w:rsid w:val="006F2053"/>
    <w:rsid w:val="006F3FD4"/>
    <w:rsid w:val="007042E3"/>
    <w:rsid w:val="00714DAF"/>
    <w:rsid w:val="0072355F"/>
    <w:rsid w:val="007244FC"/>
    <w:rsid w:val="007342DC"/>
    <w:rsid w:val="00743274"/>
    <w:rsid w:val="00745B5A"/>
    <w:rsid w:val="00746047"/>
    <w:rsid w:val="007600E2"/>
    <w:rsid w:val="007658F4"/>
    <w:rsid w:val="00766377"/>
    <w:rsid w:val="00767DA5"/>
    <w:rsid w:val="00780DD8"/>
    <w:rsid w:val="00781D70"/>
    <w:rsid w:val="0078225F"/>
    <w:rsid w:val="0078241C"/>
    <w:rsid w:val="00792EF9"/>
    <w:rsid w:val="00796087"/>
    <w:rsid w:val="007A0D16"/>
    <w:rsid w:val="007A3FF5"/>
    <w:rsid w:val="007A5D24"/>
    <w:rsid w:val="007C4EC1"/>
    <w:rsid w:val="007D2E27"/>
    <w:rsid w:val="007D66E3"/>
    <w:rsid w:val="007E6471"/>
    <w:rsid w:val="007F18EC"/>
    <w:rsid w:val="007F2FAF"/>
    <w:rsid w:val="007F673B"/>
    <w:rsid w:val="007F7760"/>
    <w:rsid w:val="00800471"/>
    <w:rsid w:val="008009A9"/>
    <w:rsid w:val="00805CF7"/>
    <w:rsid w:val="0081012E"/>
    <w:rsid w:val="00811BBF"/>
    <w:rsid w:val="00816C26"/>
    <w:rsid w:val="00821136"/>
    <w:rsid w:val="00821B73"/>
    <w:rsid w:val="00841F94"/>
    <w:rsid w:val="0085318A"/>
    <w:rsid w:val="0085361A"/>
    <w:rsid w:val="0085428A"/>
    <w:rsid w:val="0085549D"/>
    <w:rsid w:val="00862CCE"/>
    <w:rsid w:val="00863A76"/>
    <w:rsid w:val="00864EE5"/>
    <w:rsid w:val="00866380"/>
    <w:rsid w:val="008678B4"/>
    <w:rsid w:val="00873C8C"/>
    <w:rsid w:val="00890616"/>
    <w:rsid w:val="0089272B"/>
    <w:rsid w:val="00892AAF"/>
    <w:rsid w:val="008A7642"/>
    <w:rsid w:val="008B2370"/>
    <w:rsid w:val="008C23DB"/>
    <w:rsid w:val="008C608B"/>
    <w:rsid w:val="008D0137"/>
    <w:rsid w:val="008D028A"/>
    <w:rsid w:val="008D5746"/>
    <w:rsid w:val="008E2000"/>
    <w:rsid w:val="008E5A57"/>
    <w:rsid w:val="008F5850"/>
    <w:rsid w:val="008F5886"/>
    <w:rsid w:val="00900D9A"/>
    <w:rsid w:val="00901EE5"/>
    <w:rsid w:val="009043EA"/>
    <w:rsid w:val="009058CD"/>
    <w:rsid w:val="009061BF"/>
    <w:rsid w:val="00910104"/>
    <w:rsid w:val="009176C9"/>
    <w:rsid w:val="00923810"/>
    <w:rsid w:val="009278C7"/>
    <w:rsid w:val="00927E6B"/>
    <w:rsid w:val="00930438"/>
    <w:rsid w:val="009305EF"/>
    <w:rsid w:val="00932F41"/>
    <w:rsid w:val="009367F5"/>
    <w:rsid w:val="00936A9B"/>
    <w:rsid w:val="00943C40"/>
    <w:rsid w:val="009646CC"/>
    <w:rsid w:val="0096498C"/>
    <w:rsid w:val="00964D57"/>
    <w:rsid w:val="00966F4C"/>
    <w:rsid w:val="00970319"/>
    <w:rsid w:val="0097045E"/>
    <w:rsid w:val="00971CB2"/>
    <w:rsid w:val="009721A6"/>
    <w:rsid w:val="009757E2"/>
    <w:rsid w:val="00983505"/>
    <w:rsid w:val="00984126"/>
    <w:rsid w:val="00987887"/>
    <w:rsid w:val="0099146C"/>
    <w:rsid w:val="00992AC4"/>
    <w:rsid w:val="0099732E"/>
    <w:rsid w:val="009A3588"/>
    <w:rsid w:val="009B3396"/>
    <w:rsid w:val="009B7B9E"/>
    <w:rsid w:val="009B7C0D"/>
    <w:rsid w:val="009C312B"/>
    <w:rsid w:val="009C5AFD"/>
    <w:rsid w:val="009D3A43"/>
    <w:rsid w:val="009E4084"/>
    <w:rsid w:val="009E7460"/>
    <w:rsid w:val="009F0BD8"/>
    <w:rsid w:val="009F119B"/>
    <w:rsid w:val="009F3C87"/>
    <w:rsid w:val="009F4DB0"/>
    <w:rsid w:val="009F6805"/>
    <w:rsid w:val="00A01A7C"/>
    <w:rsid w:val="00A13093"/>
    <w:rsid w:val="00A13C11"/>
    <w:rsid w:val="00A15042"/>
    <w:rsid w:val="00A2589E"/>
    <w:rsid w:val="00A265F0"/>
    <w:rsid w:val="00A31B40"/>
    <w:rsid w:val="00A354E4"/>
    <w:rsid w:val="00A35A7C"/>
    <w:rsid w:val="00A365F2"/>
    <w:rsid w:val="00A377C9"/>
    <w:rsid w:val="00A42988"/>
    <w:rsid w:val="00A42A8A"/>
    <w:rsid w:val="00A4354A"/>
    <w:rsid w:val="00A50908"/>
    <w:rsid w:val="00A51709"/>
    <w:rsid w:val="00A518A9"/>
    <w:rsid w:val="00A521A3"/>
    <w:rsid w:val="00A61768"/>
    <w:rsid w:val="00A6241A"/>
    <w:rsid w:val="00A757B9"/>
    <w:rsid w:val="00A76DE1"/>
    <w:rsid w:val="00A830B6"/>
    <w:rsid w:val="00A85AF0"/>
    <w:rsid w:val="00A86181"/>
    <w:rsid w:val="00A86A40"/>
    <w:rsid w:val="00A90A0A"/>
    <w:rsid w:val="00A940C5"/>
    <w:rsid w:val="00AA1AB1"/>
    <w:rsid w:val="00AA431D"/>
    <w:rsid w:val="00AA64DF"/>
    <w:rsid w:val="00AC33B5"/>
    <w:rsid w:val="00AC4993"/>
    <w:rsid w:val="00AD539F"/>
    <w:rsid w:val="00AE2AF7"/>
    <w:rsid w:val="00AE428B"/>
    <w:rsid w:val="00AE6DCA"/>
    <w:rsid w:val="00AF599D"/>
    <w:rsid w:val="00AF6D40"/>
    <w:rsid w:val="00B0035B"/>
    <w:rsid w:val="00B02CFE"/>
    <w:rsid w:val="00B02E27"/>
    <w:rsid w:val="00B03844"/>
    <w:rsid w:val="00B076D7"/>
    <w:rsid w:val="00B14145"/>
    <w:rsid w:val="00B16704"/>
    <w:rsid w:val="00B21179"/>
    <w:rsid w:val="00B40B6D"/>
    <w:rsid w:val="00B52C75"/>
    <w:rsid w:val="00B5783C"/>
    <w:rsid w:val="00B63AEA"/>
    <w:rsid w:val="00B64EB1"/>
    <w:rsid w:val="00B664F4"/>
    <w:rsid w:val="00B70F45"/>
    <w:rsid w:val="00B81B27"/>
    <w:rsid w:val="00B846A9"/>
    <w:rsid w:val="00B917DA"/>
    <w:rsid w:val="00B923EA"/>
    <w:rsid w:val="00BA2546"/>
    <w:rsid w:val="00BA428F"/>
    <w:rsid w:val="00BA503C"/>
    <w:rsid w:val="00BA5351"/>
    <w:rsid w:val="00BB4AD2"/>
    <w:rsid w:val="00BB4E40"/>
    <w:rsid w:val="00BB6080"/>
    <w:rsid w:val="00BC45A1"/>
    <w:rsid w:val="00BD14DD"/>
    <w:rsid w:val="00BD14F1"/>
    <w:rsid w:val="00BD1A96"/>
    <w:rsid w:val="00BD2436"/>
    <w:rsid w:val="00BD5937"/>
    <w:rsid w:val="00BD5E93"/>
    <w:rsid w:val="00BF68CD"/>
    <w:rsid w:val="00C10035"/>
    <w:rsid w:val="00C13EA2"/>
    <w:rsid w:val="00C20E78"/>
    <w:rsid w:val="00C302F5"/>
    <w:rsid w:val="00C34B92"/>
    <w:rsid w:val="00C35019"/>
    <w:rsid w:val="00C41338"/>
    <w:rsid w:val="00C53B9C"/>
    <w:rsid w:val="00C61A4E"/>
    <w:rsid w:val="00C71914"/>
    <w:rsid w:val="00C75C2D"/>
    <w:rsid w:val="00C77AC1"/>
    <w:rsid w:val="00C84A55"/>
    <w:rsid w:val="00C870F5"/>
    <w:rsid w:val="00C872E3"/>
    <w:rsid w:val="00C87A9B"/>
    <w:rsid w:val="00C919F0"/>
    <w:rsid w:val="00C92AC8"/>
    <w:rsid w:val="00C96444"/>
    <w:rsid w:val="00CA044A"/>
    <w:rsid w:val="00CA0671"/>
    <w:rsid w:val="00CA06CB"/>
    <w:rsid w:val="00CA20F6"/>
    <w:rsid w:val="00CB02F0"/>
    <w:rsid w:val="00CB083E"/>
    <w:rsid w:val="00CB4537"/>
    <w:rsid w:val="00CC057C"/>
    <w:rsid w:val="00CC0936"/>
    <w:rsid w:val="00CC49A2"/>
    <w:rsid w:val="00CD1064"/>
    <w:rsid w:val="00CD121A"/>
    <w:rsid w:val="00CD1F78"/>
    <w:rsid w:val="00CD458E"/>
    <w:rsid w:val="00CD4772"/>
    <w:rsid w:val="00CD5E9E"/>
    <w:rsid w:val="00CE05B1"/>
    <w:rsid w:val="00CE2410"/>
    <w:rsid w:val="00CE5263"/>
    <w:rsid w:val="00CF303E"/>
    <w:rsid w:val="00CF3AAB"/>
    <w:rsid w:val="00CF5AF6"/>
    <w:rsid w:val="00D0398B"/>
    <w:rsid w:val="00D076A0"/>
    <w:rsid w:val="00D2709C"/>
    <w:rsid w:val="00D31BEF"/>
    <w:rsid w:val="00D32FD9"/>
    <w:rsid w:val="00D339ED"/>
    <w:rsid w:val="00D37DCB"/>
    <w:rsid w:val="00D416D4"/>
    <w:rsid w:val="00D423FB"/>
    <w:rsid w:val="00D43EF3"/>
    <w:rsid w:val="00D4448F"/>
    <w:rsid w:val="00D44DDA"/>
    <w:rsid w:val="00D51563"/>
    <w:rsid w:val="00D573D3"/>
    <w:rsid w:val="00D5785B"/>
    <w:rsid w:val="00D6552D"/>
    <w:rsid w:val="00D65544"/>
    <w:rsid w:val="00D6640A"/>
    <w:rsid w:val="00D6641B"/>
    <w:rsid w:val="00D66A8D"/>
    <w:rsid w:val="00D73746"/>
    <w:rsid w:val="00D77B4E"/>
    <w:rsid w:val="00D85352"/>
    <w:rsid w:val="00D90BF0"/>
    <w:rsid w:val="00D94A7C"/>
    <w:rsid w:val="00D967F1"/>
    <w:rsid w:val="00DA6729"/>
    <w:rsid w:val="00DB3216"/>
    <w:rsid w:val="00DB5CE4"/>
    <w:rsid w:val="00DC1F3A"/>
    <w:rsid w:val="00DC25D6"/>
    <w:rsid w:val="00DC3170"/>
    <w:rsid w:val="00DC3CE8"/>
    <w:rsid w:val="00DC468A"/>
    <w:rsid w:val="00DE034D"/>
    <w:rsid w:val="00DE32CD"/>
    <w:rsid w:val="00DE5050"/>
    <w:rsid w:val="00DE5B08"/>
    <w:rsid w:val="00DE77A4"/>
    <w:rsid w:val="00DF2A8F"/>
    <w:rsid w:val="00DF4979"/>
    <w:rsid w:val="00E019B0"/>
    <w:rsid w:val="00E02FB6"/>
    <w:rsid w:val="00E215F6"/>
    <w:rsid w:val="00E30AA3"/>
    <w:rsid w:val="00E313E4"/>
    <w:rsid w:val="00E33DBA"/>
    <w:rsid w:val="00E34C2F"/>
    <w:rsid w:val="00E420E6"/>
    <w:rsid w:val="00E43F04"/>
    <w:rsid w:val="00E446F6"/>
    <w:rsid w:val="00E51621"/>
    <w:rsid w:val="00E52BB9"/>
    <w:rsid w:val="00E54592"/>
    <w:rsid w:val="00E56517"/>
    <w:rsid w:val="00E57893"/>
    <w:rsid w:val="00E62D37"/>
    <w:rsid w:val="00E63D96"/>
    <w:rsid w:val="00E662E2"/>
    <w:rsid w:val="00E6763C"/>
    <w:rsid w:val="00E708E8"/>
    <w:rsid w:val="00E8092F"/>
    <w:rsid w:val="00E82CA6"/>
    <w:rsid w:val="00E84294"/>
    <w:rsid w:val="00E85BBF"/>
    <w:rsid w:val="00E92306"/>
    <w:rsid w:val="00E93459"/>
    <w:rsid w:val="00E9620D"/>
    <w:rsid w:val="00EA163C"/>
    <w:rsid w:val="00EA3696"/>
    <w:rsid w:val="00EA499D"/>
    <w:rsid w:val="00EB1600"/>
    <w:rsid w:val="00EB181A"/>
    <w:rsid w:val="00EB4907"/>
    <w:rsid w:val="00EB575C"/>
    <w:rsid w:val="00EC3221"/>
    <w:rsid w:val="00EC36B4"/>
    <w:rsid w:val="00ED1EC6"/>
    <w:rsid w:val="00ED1F52"/>
    <w:rsid w:val="00ED6B56"/>
    <w:rsid w:val="00ED6C58"/>
    <w:rsid w:val="00EF71C5"/>
    <w:rsid w:val="00F02FF4"/>
    <w:rsid w:val="00F03952"/>
    <w:rsid w:val="00F2179A"/>
    <w:rsid w:val="00F22A99"/>
    <w:rsid w:val="00F36690"/>
    <w:rsid w:val="00F3773A"/>
    <w:rsid w:val="00F47D1E"/>
    <w:rsid w:val="00F5203C"/>
    <w:rsid w:val="00F64450"/>
    <w:rsid w:val="00F72A60"/>
    <w:rsid w:val="00F7603F"/>
    <w:rsid w:val="00F77807"/>
    <w:rsid w:val="00F86953"/>
    <w:rsid w:val="00FA22D6"/>
    <w:rsid w:val="00FA4436"/>
    <w:rsid w:val="00FA55E7"/>
    <w:rsid w:val="00FC4253"/>
    <w:rsid w:val="00FC54C8"/>
    <w:rsid w:val="00FC6776"/>
    <w:rsid w:val="00FC67BE"/>
    <w:rsid w:val="00FC6884"/>
    <w:rsid w:val="00FD34AB"/>
    <w:rsid w:val="00FE2C3C"/>
    <w:rsid w:val="00FE569E"/>
    <w:rsid w:val="00FE72ED"/>
    <w:rsid w:val="00FF0769"/>
    <w:rsid w:val="00FF13CA"/>
    <w:rsid w:val="00FF2BE6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E93A"/>
  <w15:docId w15:val="{BF8E3F32-061E-4E1E-8E08-C1AE5F0D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B56"/>
    <w:pPr>
      <w:jc w:val="center"/>
    </w:pPr>
    <w:rPr>
      <w:sz w:val="24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682D4E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271354"/>
    <w:rPr>
      <w:rFonts w:ascii="Calibri" w:eastAsia="Times New Roman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410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992A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992AC4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2A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2AC4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00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007"/>
    <w:rPr>
      <w:rFonts w:ascii="Tahoma" w:hAnsi="Tahoma" w:cs="Tahoma"/>
      <w:sz w:val="16"/>
      <w:szCs w:val="16"/>
      <w:lang w:eastAsia="en-US"/>
    </w:rPr>
  </w:style>
  <w:style w:type="character" w:customStyle="1" w:styleId="NoSpacingChar">
    <w:name w:val="No Spacing Char"/>
    <w:link w:val="NoSpacing"/>
    <w:locked/>
    <w:rsid w:val="00900D9A"/>
    <w:rPr>
      <w:rFonts w:ascii="Calibri" w:eastAsia="Times New Roman" w:hAnsi="Calibri"/>
      <w:sz w:val="22"/>
      <w:szCs w:val="22"/>
      <w:lang w:eastAsia="en-US" w:bidi="ar-SA"/>
    </w:rPr>
  </w:style>
  <w:style w:type="character" w:customStyle="1" w:styleId="BodyTextChar">
    <w:name w:val="Body Text Char"/>
    <w:aliases w:val="uvlaka 2 Char,uvlaka 3 Char"/>
    <w:link w:val="BodyText"/>
    <w:semiHidden/>
    <w:locked/>
    <w:rsid w:val="009F3C87"/>
    <w:rPr>
      <w:rFonts w:ascii="Arial" w:eastAsia="Times New Roman" w:hAnsi="Arial" w:cs="Arial"/>
      <w:szCs w:val="24"/>
      <w:lang w:eastAsia="en-US"/>
    </w:rPr>
  </w:style>
  <w:style w:type="paragraph" w:styleId="BodyText">
    <w:name w:val="Body Text"/>
    <w:aliases w:val="uvlaka 2,uvlaka 3"/>
    <w:basedOn w:val="Normal"/>
    <w:link w:val="BodyTextChar"/>
    <w:semiHidden/>
    <w:unhideWhenUsed/>
    <w:rsid w:val="009F3C87"/>
    <w:pPr>
      <w:spacing w:before="100" w:beforeAutospacing="1" w:after="100" w:afterAutospacing="1"/>
      <w:jc w:val="both"/>
    </w:pPr>
    <w:rPr>
      <w:rFonts w:ascii="Arial" w:eastAsia="Times New Roman" w:hAnsi="Arial"/>
      <w:sz w:val="20"/>
      <w:szCs w:val="24"/>
    </w:rPr>
  </w:style>
  <w:style w:type="character" w:customStyle="1" w:styleId="BodyTextChar1">
    <w:name w:val="Body Text Char1"/>
    <w:uiPriority w:val="99"/>
    <w:semiHidden/>
    <w:rsid w:val="009F3C87"/>
    <w:rPr>
      <w:sz w:val="24"/>
      <w:szCs w:val="22"/>
      <w:lang w:eastAsia="en-US"/>
    </w:rPr>
  </w:style>
  <w:style w:type="paragraph" w:customStyle="1" w:styleId="Default">
    <w:name w:val="Default"/>
    <w:rsid w:val="009F3C8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7185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link w:val="Heading1"/>
    <w:uiPriority w:val="9"/>
    <w:rsid w:val="00682D4E"/>
    <w:rPr>
      <w:rFonts w:eastAsia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682D4E"/>
  </w:style>
  <w:style w:type="character" w:styleId="Hyperlink">
    <w:name w:val="Hyperlink"/>
    <w:unhideWhenUsed/>
    <w:rsid w:val="00682D4E"/>
    <w:rPr>
      <w:color w:val="0000FF"/>
      <w:u w:val="single"/>
    </w:rPr>
  </w:style>
  <w:style w:type="character" w:styleId="Strong">
    <w:name w:val="Strong"/>
    <w:uiPriority w:val="22"/>
    <w:qFormat/>
    <w:rsid w:val="00E923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0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1447</Words>
  <Characters>8252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ARIAN</dc:creator>
  <cp:lastModifiedBy>MARIJA</cp:lastModifiedBy>
  <cp:revision>7</cp:revision>
  <cp:lastPrinted>2024-11-28T08:30:00Z</cp:lastPrinted>
  <dcterms:created xsi:type="dcterms:W3CDTF">2024-11-26T08:19:00Z</dcterms:created>
  <dcterms:modified xsi:type="dcterms:W3CDTF">2024-12-04T10:10:00Z</dcterms:modified>
</cp:coreProperties>
</file>