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446E3" w14:textId="77777777" w:rsidR="00DF1F32" w:rsidRPr="00DF1F32" w:rsidRDefault="00DF1F32" w:rsidP="00DF1F32">
      <w:pPr>
        <w:widowControl w:val="0"/>
        <w:tabs>
          <w:tab w:val="left" w:pos="993"/>
        </w:tabs>
        <w:autoSpaceDE w:val="0"/>
        <w:autoSpaceDN w:val="0"/>
        <w:spacing w:before="122" w:after="0" w:line="240" w:lineRule="auto"/>
        <w:ind w:firstLine="284"/>
        <w:jc w:val="both"/>
        <w:outlineLvl w:val="1"/>
        <w:rPr>
          <w:rFonts w:ascii="Calibri" w:eastAsia="Calibri" w:hAnsi="Calibri" w:cs="Calibri"/>
          <w:b/>
          <w:bCs/>
          <w:kern w:val="0"/>
          <w:sz w:val="24"/>
          <w:szCs w:val="24"/>
          <w:lang w:eastAsia="hr-HR" w:bidi="hr-HR"/>
          <w14:ligatures w14:val="none"/>
        </w:rPr>
      </w:pPr>
      <w:r w:rsidRPr="00DF1F32">
        <w:rPr>
          <w:rFonts w:ascii="Calibri" w:eastAsia="Calibri" w:hAnsi="Calibri" w:cs="Calibri"/>
          <w:b/>
          <w:bCs/>
          <w:kern w:val="0"/>
          <w:sz w:val="24"/>
          <w:szCs w:val="24"/>
          <w:lang w:eastAsia="hr-HR" w:bidi="hr-HR"/>
          <w14:ligatures w14:val="none"/>
        </w:rPr>
        <w:t xml:space="preserve">UVJETI I ZAHTJEVI KOJI MORAJU BITI ISPUNJENI SUKLADNO POSEBNIM PROPISIMA </w:t>
      </w:r>
    </w:p>
    <w:p w14:paraId="4E20609C" w14:textId="77777777" w:rsidR="00DF1F32" w:rsidRPr="00DF1F32" w:rsidRDefault="00DF1F32" w:rsidP="00DF1F32">
      <w:pPr>
        <w:widowControl w:val="0"/>
        <w:tabs>
          <w:tab w:val="left" w:pos="993"/>
        </w:tabs>
        <w:autoSpaceDE w:val="0"/>
        <w:autoSpaceDN w:val="0"/>
        <w:spacing w:before="122" w:after="0" w:line="240" w:lineRule="auto"/>
        <w:ind w:left="227"/>
        <w:jc w:val="both"/>
        <w:outlineLvl w:val="1"/>
        <w:rPr>
          <w:rFonts w:ascii="Calibri" w:eastAsia="Calibri" w:hAnsi="Calibri" w:cs="Calibri"/>
          <w:b/>
          <w:bCs/>
          <w:kern w:val="0"/>
          <w:sz w:val="24"/>
          <w:szCs w:val="24"/>
          <w:lang w:eastAsia="hr-HR" w:bidi="hr-HR"/>
          <w14:ligatures w14:val="none"/>
        </w:rPr>
      </w:pPr>
      <w:r w:rsidRPr="00DF1F32">
        <w:rPr>
          <w:rFonts w:ascii="Calibri" w:eastAsia="Calibri" w:hAnsi="Calibri" w:cs="Calibri"/>
          <w:b/>
          <w:bCs/>
          <w:kern w:val="0"/>
          <w:sz w:val="24"/>
          <w:szCs w:val="24"/>
          <w:lang w:eastAsia="hr-HR" w:bidi="hr-HR"/>
          <w14:ligatures w14:val="none"/>
        </w:rPr>
        <w:t>ILI STRUČNIM PRAVILIMA</w:t>
      </w:r>
    </w:p>
    <w:p w14:paraId="4961965D" w14:textId="77777777" w:rsidR="0022608F" w:rsidRPr="0022608F" w:rsidRDefault="0022608F" w:rsidP="0022608F">
      <w:pPr>
        <w:keepNext/>
        <w:widowControl w:val="0"/>
        <w:tabs>
          <w:tab w:val="left" w:pos="680"/>
          <w:tab w:val="left" w:pos="1276"/>
          <w:tab w:val="left" w:pos="9781"/>
        </w:tabs>
        <w:suppressAutoHyphens/>
        <w:spacing w:before="240" w:after="120" w:line="240" w:lineRule="auto"/>
        <w:ind w:left="284" w:right="284"/>
        <w:jc w:val="both"/>
        <w:rPr>
          <w:rFonts w:ascii="Calibri" w:eastAsia="Times New Roman" w:hAnsi="Calibri" w:cs="Calibri"/>
          <w:b/>
          <w:kern w:val="0"/>
          <w:sz w:val="24"/>
          <w:szCs w:val="24"/>
          <w:u w:val="single"/>
          <w14:ligatures w14:val="none"/>
        </w:rPr>
      </w:pPr>
      <w:r w:rsidRPr="0022608F">
        <w:rPr>
          <w:rFonts w:ascii="Calibri" w:eastAsia="Times New Roman" w:hAnsi="Calibri" w:cs="Calibri"/>
          <w:b/>
          <w:kern w:val="0"/>
          <w:sz w:val="24"/>
          <w:szCs w:val="24"/>
          <w:u w:val="single"/>
          <w14:ligatures w14:val="none"/>
        </w:rPr>
        <w:t>Obavljanje djelatnosti građenja</w:t>
      </w:r>
    </w:p>
    <w:p w14:paraId="3FD238B7" w14:textId="77777777" w:rsidR="0022608F" w:rsidRPr="0022608F" w:rsidRDefault="0022608F" w:rsidP="0022608F">
      <w:pPr>
        <w:tabs>
          <w:tab w:val="left" w:pos="680"/>
          <w:tab w:val="left" w:pos="1276"/>
          <w:tab w:val="left" w:pos="9781"/>
        </w:tabs>
        <w:suppressAutoHyphens/>
        <w:spacing w:after="120" w:line="240" w:lineRule="auto"/>
        <w:ind w:left="284" w:right="286"/>
        <w:jc w:val="both"/>
        <w:rPr>
          <w:rFonts w:ascii="Calibri" w:eastAsia="Times New Roman" w:hAnsi="Calibri" w:cs="Calibri"/>
          <w:bCs/>
          <w:kern w:val="0"/>
          <w:sz w:val="24"/>
          <w:szCs w:val="24"/>
          <w14:ligatures w14:val="none"/>
        </w:rPr>
      </w:pPr>
      <w:r w:rsidRPr="0022608F">
        <w:rPr>
          <w:rFonts w:ascii="Calibri" w:eastAsia="Times New Roman" w:hAnsi="Calibri" w:cs="Calibri"/>
          <w:bCs/>
          <w:kern w:val="0"/>
          <w:sz w:val="24"/>
          <w:szCs w:val="24"/>
          <w14:ligatures w14:val="none"/>
        </w:rPr>
        <w:t>Za potrebe obavljanja djelatnosti građenja pravna osoba ili fizička osoba obrtnik sa sjedištem u Republici Hrvatskoj, sukladno ZPDPUG</w:t>
      </w:r>
      <w:r w:rsidRPr="0022608F">
        <w:rPr>
          <w:rFonts w:ascii="Calibri" w:eastAsia="Times New Roman" w:hAnsi="Calibri" w:cs="Calibri"/>
          <w:bCs/>
          <w:color w:val="0070C0"/>
          <w:kern w:val="0"/>
          <w:sz w:val="24"/>
          <w:szCs w:val="24"/>
          <w14:ligatures w14:val="none"/>
        </w:rPr>
        <w:t>-</w:t>
      </w:r>
      <w:r w:rsidRPr="0022608F">
        <w:rPr>
          <w:rFonts w:ascii="Calibri" w:eastAsia="Times New Roman" w:hAnsi="Calibri" w:cs="Calibri"/>
          <w:bCs/>
          <w:kern w:val="0"/>
          <w:sz w:val="24"/>
          <w:szCs w:val="24"/>
          <w14:ligatures w14:val="none"/>
        </w:rPr>
        <w:t xml:space="preserve">u mora biti registrirana za obavljanje djelatnosti građenja. </w:t>
      </w:r>
    </w:p>
    <w:p w14:paraId="7ED69087" w14:textId="77777777" w:rsidR="0022608F" w:rsidRPr="0022608F" w:rsidRDefault="0022608F" w:rsidP="0022608F">
      <w:pPr>
        <w:tabs>
          <w:tab w:val="left" w:pos="680"/>
          <w:tab w:val="left" w:pos="1276"/>
          <w:tab w:val="left" w:pos="9781"/>
        </w:tabs>
        <w:suppressAutoHyphens/>
        <w:spacing w:after="120" w:line="240" w:lineRule="auto"/>
        <w:ind w:left="284" w:right="286"/>
        <w:jc w:val="both"/>
        <w:rPr>
          <w:rFonts w:ascii="Calibri" w:eastAsia="Times New Roman" w:hAnsi="Calibri" w:cs="Calibri"/>
          <w:bCs/>
          <w:kern w:val="0"/>
          <w:sz w:val="24"/>
          <w:szCs w:val="24"/>
          <w14:ligatures w14:val="none"/>
        </w:rPr>
      </w:pPr>
      <w:r w:rsidRPr="0022608F">
        <w:rPr>
          <w:rFonts w:ascii="Calibri" w:eastAsia="Times New Roman" w:hAnsi="Calibri" w:cs="Calibri"/>
          <w:bCs/>
          <w:kern w:val="0"/>
          <w:sz w:val="24"/>
          <w:szCs w:val="24"/>
          <w14:ligatures w14:val="none"/>
        </w:rPr>
        <w:t>Strana pravna osoba ili strana fizička osoba obrtnik sa sjedištem u drugoj državi ugovornici EGP-a (Europskog gospodarskog prostora), odnosno državi članici Svjetske trgovinske organizacije (STO) koja u toj državi obavlja djelatnost građenja, može u Republici Hrvatskoj na privremenoj ili povremenoj osnovi obavljati one poslove koje je prema propisima države u kojoj ima sjedište ovlaštena obavljati, ako prije početka prvog posla o tome izvijesti Ministarstvo nadležno za poslove graditeljstva i prostornog uređenja izjavom u pisanom ili elektroničkom obliku. Uz izjavu strani ponuditelj mora priložiti isprave kojim se dokazuje: pravo obavljanja djelatnosti u državi sjedišta strane pravne osobe, da je pokrivena jamstvom, odnosno da je osigurana od odgovornosti za štetu koju bi obavljanjem djelatnosti mogla učiniti investitoru ili drugim osobama, pri čemu se priznaje jednakovrijedno jamstvo, odnosno osiguranje sklopljeno u državi sjedišta strane osobe. Ministarstvo provodi postupak provjere podataka te o tome izdaje potvrdu (članka 69. ZPDPUG-a).</w:t>
      </w:r>
    </w:p>
    <w:p w14:paraId="08739943" w14:textId="77777777" w:rsidR="0022608F" w:rsidRPr="0022608F" w:rsidRDefault="0022608F" w:rsidP="0022608F">
      <w:pPr>
        <w:tabs>
          <w:tab w:val="left" w:pos="680"/>
          <w:tab w:val="left" w:pos="1276"/>
          <w:tab w:val="left" w:pos="9781"/>
        </w:tabs>
        <w:suppressAutoHyphens/>
        <w:spacing w:after="120" w:line="240" w:lineRule="auto"/>
        <w:ind w:left="284" w:right="286"/>
        <w:jc w:val="both"/>
        <w:rPr>
          <w:rFonts w:ascii="Calibri" w:eastAsia="Times New Roman" w:hAnsi="Calibri" w:cs="Calibri"/>
          <w:bCs/>
          <w:kern w:val="0"/>
          <w:sz w:val="24"/>
          <w:szCs w:val="24"/>
          <w14:ligatures w14:val="none"/>
        </w:rPr>
      </w:pPr>
      <w:r w:rsidRPr="0022608F">
        <w:rPr>
          <w:rFonts w:ascii="Calibri" w:eastAsia="Times New Roman" w:hAnsi="Calibri" w:cs="Calibri"/>
          <w:bCs/>
          <w:kern w:val="0"/>
          <w:sz w:val="24"/>
          <w:szCs w:val="24"/>
          <w14:ligatures w14:val="none"/>
        </w:rPr>
        <w:t xml:space="preserve">Strana pravna osoba ili strana fizička osoba obrtnik sa sjedištem u drugoj državi koja nije država ugovornica EGP-a, odnosno članica STO, može pod pretpostavkom uzajamnosti u Republici Hrvatskoj na privremenoj ili povremenoj osnovi obavljati one poslove koje je prema propisima države u kojoj ima sjedište ovlaštena obavljati, ako prije početka prvog posla o tome izvijesti Ministarstvo nadležno za poslove graditeljstva i prostornog uređenja izjavom u pisanom ili elektroničkom obliku. Uz izjavu strani ponuditelj mora priložiti isprave kojim se dokazuje: pravo obavljanja djelatnosti u državi sjedišta strane pravne osobe, da je pokrivena jamstvom, odnosno da je osigurana od odgovornosti za štetu koju bi obavljanjem djelatnosti mogla učiniti investitoru ili drugim osobama, pri čemu se priznaje jednakovrijedno jamstvo, odnosno osiguranje sklopljeno u državi sjedišta strane osobe. Ministarstvo provodi postupak provjere podataka te o tome izdaje potvrdu. </w:t>
      </w:r>
    </w:p>
    <w:p w14:paraId="55CB4986" w14:textId="77777777" w:rsidR="0022608F" w:rsidRPr="0022608F" w:rsidRDefault="0022608F" w:rsidP="0022608F">
      <w:pPr>
        <w:tabs>
          <w:tab w:val="left" w:pos="680"/>
          <w:tab w:val="left" w:pos="1276"/>
          <w:tab w:val="left" w:pos="9781"/>
        </w:tabs>
        <w:suppressAutoHyphens/>
        <w:spacing w:after="120" w:line="240" w:lineRule="auto"/>
        <w:ind w:left="284" w:right="286"/>
        <w:jc w:val="both"/>
        <w:rPr>
          <w:rFonts w:ascii="Calibri" w:eastAsia="Times New Roman" w:hAnsi="Calibri" w:cs="Calibri"/>
          <w:bCs/>
          <w:kern w:val="0"/>
          <w:sz w:val="24"/>
          <w:szCs w:val="24"/>
          <w14:ligatures w14:val="none"/>
        </w:rPr>
      </w:pPr>
      <w:r w:rsidRPr="0022608F">
        <w:rPr>
          <w:rFonts w:ascii="Calibri" w:eastAsia="Times New Roman" w:hAnsi="Calibri" w:cs="Calibri"/>
          <w:bCs/>
          <w:kern w:val="0"/>
          <w:sz w:val="24"/>
          <w:szCs w:val="24"/>
          <w14:ligatures w14:val="none"/>
        </w:rPr>
        <w:t xml:space="preserve">Prema članku 70. ZPDPUG-a strana pravna osoba ili strana fizička osoba obrtnik sa sjedištem u drugoj državi ugovornici EGP-a, odnosno državi članici STO koja obavlja djelatnost građenja, može u Republici Hrvatskoj trajno obavljati djelatnost pod istim uvjetima kao osoba sa sjedištem u Republici Hrvatskoj, u skladu sa ZPDPUG-om i drugim posebnim propisima. </w:t>
      </w:r>
    </w:p>
    <w:p w14:paraId="72D07DA2" w14:textId="77777777" w:rsidR="0022608F" w:rsidRPr="0022608F" w:rsidRDefault="0022608F" w:rsidP="0022608F">
      <w:pPr>
        <w:tabs>
          <w:tab w:val="left" w:pos="680"/>
          <w:tab w:val="left" w:pos="1276"/>
          <w:tab w:val="left" w:pos="9781"/>
        </w:tabs>
        <w:suppressAutoHyphens/>
        <w:spacing w:after="120" w:line="240" w:lineRule="auto"/>
        <w:ind w:left="284" w:right="286"/>
        <w:jc w:val="both"/>
        <w:rPr>
          <w:rFonts w:ascii="Calibri" w:eastAsia="Times New Roman" w:hAnsi="Calibri" w:cs="Calibri"/>
          <w:bCs/>
          <w:kern w:val="0"/>
          <w:sz w:val="24"/>
          <w:szCs w:val="24"/>
          <w14:ligatures w14:val="none"/>
        </w:rPr>
      </w:pPr>
      <w:r w:rsidRPr="0022608F">
        <w:rPr>
          <w:rFonts w:ascii="Calibri" w:eastAsia="Times New Roman" w:hAnsi="Calibri" w:cs="Calibri"/>
          <w:bCs/>
          <w:kern w:val="0"/>
          <w:sz w:val="24"/>
          <w:szCs w:val="24"/>
          <w14:ligatures w14:val="none"/>
        </w:rPr>
        <w:t xml:space="preserve">Prema članku 70. ZPDPUG-a strana pravna osoba ili strana fizička osoba obrtnik koji ima sjedište u drugoj državi koja nije ugovornica EGP-a, odnosno država članica STO, koja obavlja djelatnost građenja, može, pod pretpostavkom uzajamnosti, u Republici Hrvatskoj trajno obavljati djelatnost pod istim uvjetima kao osoba sa sjedištem u Republici Hrvatskoj, u skladu sa ZPDPUG-om i drugim posebnim propisima. </w:t>
      </w:r>
    </w:p>
    <w:p w14:paraId="43709588" w14:textId="77777777" w:rsidR="0022608F" w:rsidRPr="0022608F" w:rsidRDefault="0022608F" w:rsidP="0022608F">
      <w:pPr>
        <w:tabs>
          <w:tab w:val="left" w:pos="680"/>
          <w:tab w:val="left" w:pos="1276"/>
          <w:tab w:val="left" w:pos="9781"/>
        </w:tabs>
        <w:suppressAutoHyphens/>
        <w:spacing w:after="120" w:line="240" w:lineRule="auto"/>
        <w:ind w:left="284" w:right="286"/>
        <w:jc w:val="both"/>
        <w:rPr>
          <w:rFonts w:ascii="Calibri" w:eastAsia="Times New Roman" w:hAnsi="Calibri" w:cs="Calibri"/>
          <w:bCs/>
          <w:kern w:val="0"/>
          <w:sz w:val="24"/>
          <w:szCs w:val="24"/>
          <w14:ligatures w14:val="none"/>
        </w:rPr>
      </w:pPr>
      <w:r w:rsidRPr="0022608F">
        <w:rPr>
          <w:rFonts w:ascii="Calibri" w:eastAsia="Times New Roman" w:hAnsi="Calibri" w:cs="Calibri"/>
          <w:b/>
          <w:kern w:val="0"/>
          <w:sz w:val="24"/>
          <w:szCs w:val="24"/>
          <w14:ligatures w14:val="none"/>
        </w:rPr>
        <w:t xml:space="preserve">Ispunjenje uvjeta registracije za subjekte sa sjedištem u Republici Hrvatskoj, kao i strane subjekte koji u Republici Hrvatskoj trajno obavljaju djelatnost građenja </w:t>
      </w:r>
      <w:r w:rsidRPr="0022608F">
        <w:rPr>
          <w:rFonts w:ascii="Calibri" w:eastAsia="Times New Roman" w:hAnsi="Calibri" w:cs="Calibri"/>
          <w:b/>
          <w:kern w:val="0"/>
          <w:sz w:val="24"/>
          <w:szCs w:val="24"/>
          <w14:ligatures w14:val="none"/>
        </w:rPr>
        <w:lastRenderedPageBreak/>
        <w:t xml:space="preserve">Naručitelj provjerava putem izvatka iz sudskog registra koji je Naručitelju dostupan putem javne evidencije, pri čemu uvjet mora biti ispunjen </w:t>
      </w:r>
      <w:r w:rsidRPr="0022608F">
        <w:rPr>
          <w:rFonts w:ascii="Calibri" w:eastAsia="Times New Roman" w:hAnsi="Calibri" w:cs="Calibri"/>
          <w:b/>
          <w:kern w:val="0"/>
          <w:sz w:val="24"/>
          <w:szCs w:val="24"/>
          <w:u w:val="single"/>
          <w14:ligatures w14:val="none"/>
        </w:rPr>
        <w:t>nakon izvršnosti odluke odabiru</w:t>
      </w:r>
      <w:r w:rsidRPr="0022608F">
        <w:rPr>
          <w:rFonts w:ascii="Calibri" w:eastAsia="Times New Roman" w:hAnsi="Calibri" w:cs="Calibri"/>
          <w:b/>
          <w:kern w:val="0"/>
          <w:sz w:val="24"/>
          <w:szCs w:val="24"/>
          <w14:ligatures w14:val="none"/>
        </w:rPr>
        <w:t xml:space="preserve">, a </w:t>
      </w:r>
      <w:r w:rsidRPr="0022608F">
        <w:rPr>
          <w:rFonts w:ascii="Calibri" w:eastAsia="Times New Roman" w:hAnsi="Calibri" w:cs="Calibri"/>
          <w:b/>
          <w:kern w:val="0"/>
          <w:sz w:val="24"/>
          <w:szCs w:val="24"/>
          <w:u w:val="single"/>
          <w14:ligatures w14:val="none"/>
        </w:rPr>
        <w:t>prije potpisa ugovora</w:t>
      </w:r>
      <w:r w:rsidRPr="0022608F">
        <w:rPr>
          <w:rFonts w:ascii="Calibri" w:eastAsia="Times New Roman" w:hAnsi="Calibri" w:cs="Calibri"/>
          <w:bCs/>
          <w:kern w:val="0"/>
          <w:sz w:val="24"/>
          <w:szCs w:val="24"/>
          <w14:ligatures w14:val="none"/>
        </w:rPr>
        <w:t>. Strana pravna osoba ili strana fizička osoba koja ne posjeduje ovlaštenje za trajno obavljanje djelatnosti građenja u Republici Hrvatskoj, u slučaju dodjele ugovora, dužna je Naručitelju prije potpisa ugovora dostaviti Obavijest iz članak 69. ZPDPUG-a, a sukladno gore navedenim odredbama o privremenom ili povremenom obavljanju poslova stranih osoba u RH.</w:t>
      </w:r>
    </w:p>
    <w:p w14:paraId="5125489D" w14:textId="77777777" w:rsidR="0022608F" w:rsidRPr="0022608F" w:rsidRDefault="0022608F" w:rsidP="0022608F">
      <w:pPr>
        <w:tabs>
          <w:tab w:val="left" w:pos="680"/>
          <w:tab w:val="left" w:pos="1276"/>
          <w:tab w:val="left" w:pos="9781"/>
        </w:tabs>
        <w:suppressAutoHyphens/>
        <w:spacing w:after="120" w:line="240" w:lineRule="auto"/>
        <w:ind w:left="284" w:right="286"/>
        <w:jc w:val="both"/>
        <w:rPr>
          <w:rFonts w:ascii="Calibri" w:eastAsia="Times New Roman" w:hAnsi="Calibri" w:cs="Calibri"/>
          <w:bCs/>
          <w:kern w:val="0"/>
          <w:sz w:val="24"/>
          <w:szCs w:val="24"/>
          <w14:ligatures w14:val="none"/>
        </w:rPr>
      </w:pPr>
      <w:r w:rsidRPr="0022608F">
        <w:rPr>
          <w:rFonts w:ascii="Calibri" w:eastAsia="Times New Roman" w:hAnsi="Calibri" w:cs="Calibri"/>
          <w:bCs/>
          <w:kern w:val="0"/>
          <w:sz w:val="24"/>
          <w:szCs w:val="24"/>
          <w14:ligatures w14:val="none"/>
        </w:rPr>
        <w:t>U slučaju uvođenja novog podugovaratelja tijekom izvršenja ugovora koji je strana pravna osoba ili strana fizička osoba obrtnik i koja ne posjeduje ovlaštenje za obavljanje djelatnosti građenja u Republici Hrvatskoj Izvođač je dužan Naručitelju prije odobrenja ovog zahtjeva dostaviti dokaz o postupanju sukladno članku 69. ZPDPUG-a.</w:t>
      </w:r>
    </w:p>
    <w:p w14:paraId="576223E7" w14:textId="44DF663A" w:rsidR="00CA0427" w:rsidRDefault="00CA0427" w:rsidP="00DF1F32"/>
    <w:sectPr w:rsidR="00CA04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58C7"/>
    <w:multiLevelType w:val="hybridMultilevel"/>
    <w:tmpl w:val="11B00040"/>
    <w:lvl w:ilvl="0" w:tplc="0809000B">
      <w:start w:val="1"/>
      <w:numFmt w:val="bullet"/>
      <w:lvlText w:val=""/>
      <w:lvlJc w:val="left"/>
      <w:pPr>
        <w:ind w:left="972" w:hanging="360"/>
      </w:pPr>
      <w:rPr>
        <w:rFonts w:ascii="Wingdings" w:hAnsi="Wingdings"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1" w15:restartNumberingAfterBreak="0">
    <w:nsid w:val="655C3CC8"/>
    <w:multiLevelType w:val="hybridMultilevel"/>
    <w:tmpl w:val="8680806C"/>
    <w:lvl w:ilvl="0" w:tplc="0809000B">
      <w:start w:val="1"/>
      <w:numFmt w:val="bullet"/>
      <w:lvlText w:val=""/>
      <w:lvlJc w:val="left"/>
      <w:pPr>
        <w:ind w:left="972" w:hanging="360"/>
      </w:pPr>
      <w:rPr>
        <w:rFonts w:ascii="Wingdings" w:hAnsi="Wingdings"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2" w15:restartNumberingAfterBreak="0">
    <w:nsid w:val="702F03CC"/>
    <w:multiLevelType w:val="multilevel"/>
    <w:tmpl w:val="6B2852D0"/>
    <w:lvl w:ilvl="0">
      <w:start w:val="5"/>
      <w:numFmt w:val="decimal"/>
      <w:lvlText w:val="%1"/>
      <w:lvlJc w:val="left"/>
      <w:pPr>
        <w:ind w:left="831" w:hanging="579"/>
      </w:pPr>
      <w:rPr>
        <w:rFonts w:hint="default"/>
        <w:lang w:val="hr-HR" w:eastAsia="hr-HR" w:bidi="hr-HR"/>
      </w:rPr>
    </w:lvl>
    <w:lvl w:ilvl="1">
      <w:start w:val="1"/>
      <w:numFmt w:val="decimal"/>
      <w:lvlText w:val="%1.%2."/>
      <w:lvlJc w:val="left"/>
      <w:pPr>
        <w:ind w:left="831" w:hanging="579"/>
      </w:pPr>
      <w:rPr>
        <w:rFonts w:ascii="Calibri" w:eastAsia="Calibri" w:hAnsi="Calibri" w:cs="Calibri" w:hint="default"/>
        <w:b/>
        <w:bCs/>
        <w:spacing w:val="-3"/>
        <w:w w:val="100"/>
        <w:sz w:val="24"/>
        <w:szCs w:val="24"/>
        <w:lang w:val="hr-HR" w:eastAsia="hr-HR" w:bidi="hr-HR"/>
      </w:rPr>
    </w:lvl>
    <w:lvl w:ilvl="2">
      <w:start w:val="1"/>
      <w:numFmt w:val="decimal"/>
      <w:lvlText w:val="%1.%2.%3."/>
      <w:lvlJc w:val="left"/>
      <w:pPr>
        <w:ind w:left="1333" w:hanging="720"/>
      </w:pPr>
      <w:rPr>
        <w:rFonts w:ascii="Calibri" w:eastAsia="Calibri" w:hAnsi="Calibri" w:cs="Calibri" w:hint="default"/>
        <w:b/>
        <w:bCs/>
        <w:spacing w:val="-2"/>
        <w:w w:val="100"/>
        <w:sz w:val="24"/>
        <w:szCs w:val="24"/>
        <w:lang w:val="hr-HR" w:eastAsia="hr-HR" w:bidi="hr-HR"/>
      </w:rPr>
    </w:lvl>
    <w:lvl w:ilvl="3">
      <w:numFmt w:val="bullet"/>
      <w:lvlText w:val="•"/>
      <w:lvlJc w:val="left"/>
      <w:pPr>
        <w:ind w:left="3239" w:hanging="720"/>
      </w:pPr>
      <w:rPr>
        <w:rFonts w:hint="default"/>
        <w:lang w:val="hr-HR" w:eastAsia="hr-HR" w:bidi="hr-HR"/>
      </w:rPr>
    </w:lvl>
    <w:lvl w:ilvl="4">
      <w:numFmt w:val="bullet"/>
      <w:lvlText w:val="•"/>
      <w:lvlJc w:val="left"/>
      <w:pPr>
        <w:ind w:left="4188" w:hanging="720"/>
      </w:pPr>
      <w:rPr>
        <w:rFonts w:hint="default"/>
        <w:lang w:val="hr-HR" w:eastAsia="hr-HR" w:bidi="hr-HR"/>
      </w:rPr>
    </w:lvl>
    <w:lvl w:ilvl="5">
      <w:numFmt w:val="bullet"/>
      <w:lvlText w:val="•"/>
      <w:lvlJc w:val="left"/>
      <w:pPr>
        <w:ind w:left="5138" w:hanging="720"/>
      </w:pPr>
      <w:rPr>
        <w:rFonts w:hint="default"/>
        <w:lang w:val="hr-HR" w:eastAsia="hr-HR" w:bidi="hr-HR"/>
      </w:rPr>
    </w:lvl>
    <w:lvl w:ilvl="6">
      <w:numFmt w:val="bullet"/>
      <w:lvlText w:val="•"/>
      <w:lvlJc w:val="left"/>
      <w:pPr>
        <w:ind w:left="6088" w:hanging="720"/>
      </w:pPr>
      <w:rPr>
        <w:rFonts w:hint="default"/>
        <w:lang w:val="hr-HR" w:eastAsia="hr-HR" w:bidi="hr-HR"/>
      </w:rPr>
    </w:lvl>
    <w:lvl w:ilvl="7">
      <w:numFmt w:val="bullet"/>
      <w:lvlText w:val="•"/>
      <w:lvlJc w:val="left"/>
      <w:pPr>
        <w:ind w:left="7037" w:hanging="720"/>
      </w:pPr>
      <w:rPr>
        <w:rFonts w:hint="default"/>
        <w:lang w:val="hr-HR" w:eastAsia="hr-HR" w:bidi="hr-HR"/>
      </w:rPr>
    </w:lvl>
    <w:lvl w:ilvl="8">
      <w:numFmt w:val="bullet"/>
      <w:lvlText w:val="•"/>
      <w:lvlJc w:val="left"/>
      <w:pPr>
        <w:ind w:left="7987" w:hanging="720"/>
      </w:pPr>
      <w:rPr>
        <w:rFonts w:hint="default"/>
        <w:lang w:val="hr-HR" w:eastAsia="hr-HR" w:bidi="hr-HR"/>
      </w:rPr>
    </w:lvl>
  </w:abstractNum>
  <w:num w:numId="1" w16cid:durableId="819806553">
    <w:abstractNumId w:val="2"/>
  </w:num>
  <w:num w:numId="2" w16cid:durableId="613905342">
    <w:abstractNumId w:val="0"/>
  </w:num>
  <w:num w:numId="3" w16cid:durableId="737361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F32"/>
    <w:rsid w:val="0022608F"/>
    <w:rsid w:val="00CA0427"/>
    <w:rsid w:val="00DF1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66F66"/>
  <w15:chartTrackingRefBased/>
  <w15:docId w15:val="{530666E1-A772-495D-8FD1-E6A6A9DF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621</Words>
  <Characters>3546</Characters>
  <Application>Microsoft Office Word</Application>
  <DocSecurity>0</DocSecurity>
  <Lines>29</Lines>
  <Paragraphs>8</Paragraphs>
  <ScaleCrop>false</ScaleCrop>
  <Company>DNZ</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 DZ Metkovic (Prilog - Posebni uvjeti)</dc:title>
  <dc:subject>JN 2024</dc:subject>
  <dc:creator>Maro Hađija</dc:creator>
  <cp:keywords/>
  <dc:description>R - DZ Metkovic (Prilog - Posebni uvjeti)</dc:description>
  <cp:lastModifiedBy>Maro Hađija</cp:lastModifiedBy>
  <cp:revision>2</cp:revision>
  <dcterms:created xsi:type="dcterms:W3CDTF">2024-01-18T12:20:00Z</dcterms:created>
  <dcterms:modified xsi:type="dcterms:W3CDTF">2024-03-05T09:01:00Z</dcterms:modified>
  <cp:category>JN DoN</cp:category>
</cp:coreProperties>
</file>