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4B" w:rsidRPr="002B7526" w:rsidRDefault="00B67A4B" w:rsidP="00B67A4B">
      <w:pPr>
        <w:pBdr>
          <w:bottom w:val="single" w:sz="12" w:space="1" w:color="auto"/>
        </w:pBdr>
        <w:jc w:val="center"/>
        <w:rPr>
          <w:b/>
          <w:iCs/>
          <w:sz w:val="22"/>
          <w:szCs w:val="22"/>
        </w:rPr>
      </w:pPr>
      <w:r w:rsidRPr="002B7526">
        <w:rPr>
          <w:b/>
          <w:iCs/>
          <w:sz w:val="22"/>
          <w:szCs w:val="22"/>
        </w:rPr>
        <w:t>OBRAZLOŽENJE PRORAČUNA ZA 202</w:t>
      </w:r>
      <w:r w:rsidR="009121AA" w:rsidRPr="002B7526">
        <w:rPr>
          <w:b/>
          <w:iCs/>
          <w:sz w:val="22"/>
          <w:szCs w:val="22"/>
        </w:rPr>
        <w:t>3</w:t>
      </w:r>
      <w:r w:rsidRPr="002B7526">
        <w:rPr>
          <w:b/>
          <w:iCs/>
          <w:sz w:val="22"/>
          <w:szCs w:val="22"/>
        </w:rPr>
        <w:t>. I PROJEKCIJE ZA 202</w:t>
      </w:r>
      <w:r w:rsidR="009121AA" w:rsidRPr="002B7526">
        <w:rPr>
          <w:b/>
          <w:iCs/>
          <w:sz w:val="22"/>
          <w:szCs w:val="22"/>
        </w:rPr>
        <w:t>4</w:t>
      </w:r>
      <w:r w:rsidRPr="002B7526">
        <w:rPr>
          <w:b/>
          <w:iCs/>
          <w:sz w:val="22"/>
          <w:szCs w:val="22"/>
        </w:rPr>
        <w:t>. i 202</w:t>
      </w:r>
      <w:r w:rsidR="009121AA" w:rsidRPr="002B7526">
        <w:rPr>
          <w:b/>
          <w:iCs/>
          <w:sz w:val="22"/>
          <w:szCs w:val="22"/>
        </w:rPr>
        <w:t>5</w:t>
      </w:r>
      <w:r w:rsidRPr="002B7526">
        <w:rPr>
          <w:b/>
          <w:iCs/>
          <w:sz w:val="22"/>
          <w:szCs w:val="22"/>
        </w:rPr>
        <w:t>. GODINU</w:t>
      </w:r>
    </w:p>
    <w:p w:rsidR="00B67A4B" w:rsidRPr="002B7526" w:rsidRDefault="00B67A4B" w:rsidP="00B67A4B">
      <w:pPr>
        <w:jc w:val="both"/>
        <w:rPr>
          <w:b/>
          <w:iCs/>
          <w:sz w:val="22"/>
          <w:szCs w:val="22"/>
        </w:rPr>
      </w:pPr>
    </w:p>
    <w:p w:rsidR="00B67A4B" w:rsidRPr="002B7526" w:rsidRDefault="00B67A4B" w:rsidP="00B67A4B">
      <w:pPr>
        <w:jc w:val="both"/>
        <w:rPr>
          <w:b/>
          <w:iCs/>
          <w:sz w:val="22"/>
          <w:szCs w:val="22"/>
        </w:rPr>
      </w:pPr>
    </w:p>
    <w:p w:rsidR="00B67A4B" w:rsidRPr="002B7526" w:rsidRDefault="009121AA" w:rsidP="00B67A4B">
      <w:pPr>
        <w:rPr>
          <w:rStyle w:val="IntenseReference"/>
          <w:color w:val="auto"/>
          <w:sz w:val="22"/>
          <w:szCs w:val="22"/>
        </w:rPr>
      </w:pPr>
      <w:r w:rsidRPr="002B7526">
        <w:rPr>
          <w:rStyle w:val="IntenseReference"/>
          <w:color w:val="auto"/>
          <w:sz w:val="22"/>
          <w:szCs w:val="22"/>
        </w:rPr>
        <w:t xml:space="preserve">NAZIV KORISNIKA: </w:t>
      </w:r>
      <w:r w:rsidR="00B67A4B" w:rsidRPr="002B7526">
        <w:rPr>
          <w:rStyle w:val="IntenseReference"/>
          <w:color w:val="auto"/>
          <w:sz w:val="22"/>
          <w:szCs w:val="22"/>
        </w:rPr>
        <w:t>UPRAVNI ODJEL ZA OPĆU UPRAVU I IMOVINSKO PRAVNE POSLO</w:t>
      </w:r>
      <w:bookmarkStart w:id="0" w:name="_GoBack"/>
      <w:bookmarkEnd w:id="0"/>
      <w:r w:rsidR="00B67A4B" w:rsidRPr="002B7526">
        <w:rPr>
          <w:rStyle w:val="IntenseReference"/>
          <w:color w:val="auto"/>
          <w:sz w:val="22"/>
          <w:szCs w:val="22"/>
        </w:rPr>
        <w:t>VE</w:t>
      </w:r>
    </w:p>
    <w:p w:rsidR="00B67A4B" w:rsidRPr="002B7526" w:rsidRDefault="00B67A4B" w:rsidP="00B67A4B">
      <w:pPr>
        <w:jc w:val="both"/>
        <w:rPr>
          <w:iCs/>
          <w:sz w:val="22"/>
          <w:szCs w:val="22"/>
        </w:rPr>
      </w:pPr>
    </w:p>
    <w:p w:rsidR="00B67A4B" w:rsidRPr="002B7526" w:rsidRDefault="00B67A4B" w:rsidP="00B67A4B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DJELOKRUG RADA</w:t>
      </w:r>
    </w:p>
    <w:p w:rsidR="00B67A4B" w:rsidRPr="002B7526" w:rsidRDefault="00B67A4B" w:rsidP="00B67A4B">
      <w:pPr>
        <w:jc w:val="both"/>
        <w:rPr>
          <w:iCs/>
          <w:sz w:val="22"/>
          <w:szCs w:val="22"/>
        </w:rPr>
      </w:pPr>
    </w:p>
    <w:p w:rsidR="00B67A4B" w:rsidRPr="002B7526" w:rsidRDefault="00B67A4B" w:rsidP="00B67A4B">
      <w:pPr>
        <w:jc w:val="both"/>
        <w:rPr>
          <w:iCs/>
          <w:sz w:val="22"/>
          <w:szCs w:val="22"/>
        </w:rPr>
      </w:pPr>
      <w:r w:rsidRPr="002B7526">
        <w:rPr>
          <w:iCs/>
          <w:sz w:val="22"/>
          <w:szCs w:val="22"/>
        </w:rPr>
        <w:t xml:space="preserve">Upravni odjel za opću upravu i imovinsko pravne poslove obavlja upravne i stručne povjerene  poslove državne uprave koji se odnose na:  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osobna stanja građana - promjena osobnog imena, naknadni upisi, ispravci, dopune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građanima,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registar birača – vođenje dijela registra birača, obavljanje poslova upisa u registar birača, ispravke, dopune i promjene podataka upisanih u registar birača, brisanje osoba iz registra birača, upis bilješki u registar birača, izradu izvatka iz popisa birača, izdavanje potvrda te drugih poslova sukladno zakonu kojim se uređuje registar birača;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poslove u vezi upisa udruga i upisa promjena u Registar udruga Republike Hrvatske te prestanka postojanja udruga sa svojstvom pravne osobe; vođenje registra udruga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evidencija;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Poslove u svezi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 te izdavanje potvrda iz navedenih službenih evidencija.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donošenje rješenja u prvom stupnju o utvrđivanju razloga za prestanak zadruge u zakonom propisanim slučajevima,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vođenje evidencije o političkim strankama zastupljenim u predstavničkim tijelima jedinica lokalne i područne (regionalne) samouprave i članovima predstavničkih tijela jedinica lokalne i područne (regionalne) samouprave izabranih s liste grupe birača,</w:t>
      </w:r>
    </w:p>
    <w:p w:rsidR="00B67A4B" w:rsidRPr="002B7526" w:rsidRDefault="00B67A4B" w:rsidP="00B67A4B">
      <w:pPr>
        <w:numPr>
          <w:ilvl w:val="0"/>
          <w:numId w:val="1"/>
        </w:numPr>
        <w:shd w:val="clear" w:color="auto" w:fill="FFFFFF"/>
        <w:spacing w:before="100" w:beforeAutospacing="1"/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davanje podataka iz evidencije nadležnim službama,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 xml:space="preserve">utvrđivanje prava na naknadu za imovinu oduzetu za vrijeme jugoslavenske komunističke vladavine; izdavanje uvjerenja o pokrenutom postupku naknade; izdavanje uvjerenja i očitovanja o činjenicama jesu li određene nekretnine obuhvaćene podnesenim zahtjevima za naknadu; u stvarima koji se odnose na utvrđivanje vlasništva Republike Hrvatske na oduzetim nekretninama za koje nije podnesen zahtjev za naknadu ili je pravomoćno odbijen ili odbačen; </w:t>
      </w:r>
    </w:p>
    <w:p w:rsidR="00B67A4B" w:rsidRPr="002B7526" w:rsidRDefault="00B67A4B" w:rsidP="00B67A4B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iCs/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 xml:space="preserve">izvlaštenje nekretnina (potpuno i nepotpuno izvlaštenje); provođenje osiguranja dokaza o stanju i vrijednosti nekretnina za koje se predlaže izvlaštenje; davanje odobrenja korisniku izvlaštenja za obavljanje pripremnih radnji; donošenje privremenog rješenja, stupanje u posjed izvlaštene nekretnine u tijeku postupka izvlaštenja; određivanje naknade za izvlaštene nekretnine i sklapanje nagodbi sa snagom izvršne isprave; </w:t>
      </w:r>
    </w:p>
    <w:p w:rsidR="00B67A4B" w:rsidRPr="002B7526" w:rsidRDefault="00B67A4B" w:rsidP="00B67A4B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iCs/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predaju neizgrađenog građevinskog zemljišta u vlasništvo jedinici lokalne samouprave i određivanje naknade za predano zemljište;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utvrđivanje prava vlasništva na turističkom i ostalom građevinskom zemljištu neprocijenjenom u postupku pretvorbe i privatizacije,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lastRenderedPageBreak/>
        <w:t>područje vlasništva i stvarnih prava; donošenje i zemljišnoknjižna provedba posebnih rješenja o utvrđivanju predmeta prava vlasništva na turističkom i ostalom građevinskom zemljištu neprocijenjenom u postupku pretvorbe i privatizacije,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obnovu, potporu za popravak i potporu za opremanje ratom oštećenih ili uništenih objekata (obiteljske kuće ili stana I, II, III, IV, V i VI stupnja oštećenja), povrat vlastito uloženih sredstava za obnovu – popravak u ratu oštećenih objekata, te naknadu materijalne štete uslijed terorističkih akata i javnih demonstracija, izdavanje uvjerenja i očitovanja po podnesenim zahtjevima za obnovu/potporu,</w:t>
      </w:r>
    </w:p>
    <w:p w:rsidR="00B67A4B" w:rsidRPr="002B7526" w:rsidRDefault="00B67A4B" w:rsidP="00B67A4B">
      <w:pPr>
        <w:numPr>
          <w:ilvl w:val="0"/>
          <w:numId w:val="2"/>
        </w:numPr>
        <w:tabs>
          <w:tab w:val="num" w:pos="426"/>
        </w:tabs>
        <w:ind w:left="426"/>
        <w:jc w:val="both"/>
        <w:rPr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rješavanje o statusnim pravima izbjeglica, prognanika i povratnika te o pravu na stambeno zbrinjavanje korisnika stambenog zbrinjavanja sukladno propisima kojima se uređuje status izbjeglica, prognanika i povratnika te područja posebne državne skrbi i potpomognuta područja,</w:t>
      </w:r>
    </w:p>
    <w:p w:rsidR="00B67A4B" w:rsidRPr="002B7526" w:rsidRDefault="00B67A4B" w:rsidP="00B67A4B">
      <w:pPr>
        <w:shd w:val="clear" w:color="auto" w:fill="FFFFFF"/>
        <w:spacing w:before="100" w:beforeAutospacing="1"/>
        <w:ind w:left="66"/>
        <w:jc w:val="both"/>
        <w:rPr>
          <w:color w:val="000000"/>
          <w:sz w:val="22"/>
          <w:szCs w:val="22"/>
        </w:rPr>
      </w:pPr>
      <w:r w:rsidRPr="002B7526">
        <w:rPr>
          <w:color w:val="000000"/>
          <w:sz w:val="22"/>
          <w:szCs w:val="22"/>
        </w:rPr>
        <w:t>te</w:t>
      </w:r>
    </w:p>
    <w:p w:rsidR="00B67A4B" w:rsidRPr="002B7526" w:rsidRDefault="00B67A4B" w:rsidP="00B67A4B">
      <w:pPr>
        <w:numPr>
          <w:ilvl w:val="0"/>
          <w:numId w:val="4"/>
        </w:numPr>
        <w:ind w:left="426"/>
        <w:jc w:val="both"/>
        <w:rPr>
          <w:iCs/>
          <w:color w:val="000000"/>
          <w:sz w:val="22"/>
          <w:szCs w:val="22"/>
        </w:rPr>
      </w:pPr>
      <w:r w:rsidRPr="002B7526">
        <w:rPr>
          <w:iCs/>
          <w:color w:val="000000"/>
          <w:sz w:val="22"/>
          <w:szCs w:val="22"/>
        </w:rPr>
        <w:t>druge poslove utvrđene posebnim zakonom, drugim propisom, aktom Županijske skupštine i župana,</w:t>
      </w:r>
    </w:p>
    <w:p w:rsidR="009121AA" w:rsidRPr="002B7526" w:rsidRDefault="009121AA">
      <w:pPr>
        <w:rPr>
          <w:b/>
          <w:sz w:val="22"/>
          <w:szCs w:val="22"/>
        </w:rPr>
      </w:pPr>
    </w:p>
    <w:p w:rsidR="009121AA" w:rsidRPr="002B7526" w:rsidRDefault="009121AA">
      <w:pPr>
        <w:rPr>
          <w:b/>
          <w:sz w:val="22"/>
          <w:szCs w:val="22"/>
        </w:rPr>
      </w:pPr>
    </w:p>
    <w:p w:rsidR="009121AA" w:rsidRPr="002B7526" w:rsidRDefault="009121AA" w:rsidP="009121AA">
      <w:pPr>
        <w:jc w:val="both"/>
        <w:rPr>
          <w:b/>
          <w:sz w:val="22"/>
          <w:szCs w:val="22"/>
        </w:rPr>
      </w:pPr>
      <w:r w:rsidRPr="002B7526">
        <w:rPr>
          <w:b/>
          <w:sz w:val="22"/>
          <w:szCs w:val="22"/>
        </w:rPr>
        <w:t>Upravni odjel za opću upravu i imovinsko pravne poslove u svojoj nadležnosti nema proračunskih korisnika.</w:t>
      </w:r>
    </w:p>
    <w:p w:rsidR="009121AA" w:rsidRPr="002B7526" w:rsidRDefault="009121AA">
      <w:pPr>
        <w:rPr>
          <w:b/>
          <w:sz w:val="22"/>
          <w:szCs w:val="22"/>
        </w:rPr>
      </w:pPr>
    </w:p>
    <w:p w:rsidR="00B67A4B" w:rsidRPr="002B7526" w:rsidRDefault="009121AA">
      <w:pPr>
        <w:rPr>
          <w:b/>
          <w:sz w:val="22"/>
          <w:szCs w:val="22"/>
        </w:rPr>
      </w:pPr>
      <w:r w:rsidRPr="002B7526">
        <w:rPr>
          <w:b/>
          <w:sz w:val="22"/>
          <w:szCs w:val="22"/>
        </w:rPr>
        <w:t>ORGANIZACIJSKA STRUKTURA:</w:t>
      </w:r>
    </w:p>
    <w:p w:rsidR="009121AA" w:rsidRPr="002B7526" w:rsidRDefault="0093420C">
      <w:pPr>
        <w:rPr>
          <w:sz w:val="22"/>
          <w:szCs w:val="22"/>
        </w:rPr>
      </w:pPr>
      <w:r w:rsidRPr="002B7526">
        <w:rPr>
          <w:sz w:val="22"/>
          <w:szCs w:val="22"/>
        </w:rPr>
        <w:t>Za obavljanje poslova iz djelokruga Upravnog odjela ustrojen je odsjek za opću upravu, osobna stanja i matičarstvo.</w:t>
      </w:r>
    </w:p>
    <w:p w:rsidR="0093420C" w:rsidRPr="002B7526" w:rsidRDefault="0093420C">
      <w:pPr>
        <w:rPr>
          <w:sz w:val="22"/>
          <w:szCs w:val="22"/>
        </w:rPr>
      </w:pPr>
      <w:r w:rsidRPr="002B7526">
        <w:rPr>
          <w:sz w:val="22"/>
          <w:szCs w:val="22"/>
        </w:rPr>
        <w:t>U Odsjeku za osobna stanja i matičarstvo ustrojen je Odjeljak za matičarstvo.</w:t>
      </w:r>
    </w:p>
    <w:p w:rsidR="0093420C" w:rsidRPr="002B7526" w:rsidRDefault="0093420C">
      <w:pPr>
        <w:rPr>
          <w:sz w:val="22"/>
          <w:szCs w:val="22"/>
        </w:rPr>
      </w:pPr>
      <w:r w:rsidRPr="002B7526">
        <w:rPr>
          <w:sz w:val="22"/>
          <w:szCs w:val="22"/>
        </w:rPr>
        <w:t>Upravni odjel poslove iz svoga djelokruga i nadležnosti obavlja u sjedištu u Dubrovniku te u:</w:t>
      </w:r>
    </w:p>
    <w:p w:rsidR="0093420C" w:rsidRPr="002B7526" w:rsidRDefault="0093420C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izdvojenom mjestu rada u Metkoviću za područje gradova Metković i Opuzen te općina Kula Norinska, Pojezerje, Slivno i Zažablje,</w:t>
      </w:r>
    </w:p>
    <w:p w:rsidR="0093420C" w:rsidRPr="002B7526" w:rsidRDefault="0093420C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izdvojenom mjestu rada u Pločama za područje Grada Ploča,</w:t>
      </w:r>
    </w:p>
    <w:p w:rsidR="0093420C" w:rsidRPr="002B7526" w:rsidRDefault="0093420C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izdvojenom mjestu rada u Korčuli za područje Grada Korčule i općina lumbarda, blato, Smokvica, Vela Luka, Orebić i Trpanj,</w:t>
      </w:r>
    </w:p>
    <w:p w:rsidR="0093420C" w:rsidRPr="002B7526" w:rsidRDefault="00A93E56" w:rsidP="0093420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2B7526">
        <w:rPr>
          <w:sz w:val="22"/>
          <w:szCs w:val="22"/>
        </w:rPr>
        <w:t>i</w:t>
      </w:r>
      <w:r w:rsidR="0093420C" w:rsidRPr="002B7526">
        <w:rPr>
          <w:sz w:val="22"/>
          <w:szCs w:val="22"/>
        </w:rPr>
        <w:t xml:space="preserve">zdvojenom mjestu rada u Lastovu </w:t>
      </w:r>
      <w:r w:rsidRPr="002B7526">
        <w:rPr>
          <w:sz w:val="22"/>
          <w:szCs w:val="22"/>
        </w:rPr>
        <w:t>za područje Općine Lastovo.</w:t>
      </w:r>
    </w:p>
    <w:p w:rsidR="0093420C" w:rsidRPr="002B7526" w:rsidRDefault="0093420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614E5C" w:rsidRPr="002B7526" w:rsidRDefault="00614E5C">
      <w:pPr>
        <w:rPr>
          <w:b/>
          <w:sz w:val="22"/>
          <w:szCs w:val="22"/>
        </w:rPr>
      </w:pPr>
    </w:p>
    <w:p w:rsidR="004C3632" w:rsidRPr="002B7526" w:rsidRDefault="004C3632">
      <w:pPr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FINANCIJSKI PLAN ZA 202</w:t>
      </w:r>
      <w:r w:rsidR="0093420C" w:rsidRPr="002B7526">
        <w:rPr>
          <w:rStyle w:val="Strong"/>
          <w:sz w:val="22"/>
          <w:szCs w:val="22"/>
        </w:rPr>
        <w:t>3</w:t>
      </w:r>
      <w:r w:rsidRPr="002B7526">
        <w:rPr>
          <w:rStyle w:val="Strong"/>
          <w:sz w:val="22"/>
          <w:szCs w:val="22"/>
        </w:rPr>
        <w:t>. – 202</w:t>
      </w:r>
      <w:r w:rsidR="0093420C" w:rsidRPr="002B7526">
        <w:rPr>
          <w:rStyle w:val="Strong"/>
          <w:sz w:val="22"/>
          <w:szCs w:val="22"/>
        </w:rPr>
        <w:t>5</w:t>
      </w:r>
      <w:r w:rsidRPr="002B7526">
        <w:rPr>
          <w:rStyle w:val="Strong"/>
          <w:sz w:val="22"/>
          <w:szCs w:val="22"/>
        </w:rPr>
        <w:t>.</w:t>
      </w:r>
    </w:p>
    <w:p w:rsidR="004C3632" w:rsidRPr="002B7526" w:rsidRDefault="004C3632">
      <w:pPr>
        <w:rPr>
          <w:rStyle w:val="Strong"/>
          <w:sz w:val="22"/>
          <w:szCs w:val="22"/>
        </w:rPr>
      </w:pP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880"/>
        <w:gridCol w:w="1386"/>
        <w:gridCol w:w="1386"/>
        <w:gridCol w:w="1386"/>
      </w:tblGrid>
      <w:tr w:rsidR="004C3632" w:rsidRPr="002B7526" w:rsidTr="00637F3D">
        <w:trPr>
          <w:trHeight w:val="300"/>
        </w:trPr>
        <w:tc>
          <w:tcPr>
            <w:tcW w:w="720" w:type="dxa"/>
            <w:shd w:val="clear" w:color="000000" w:fill="FFFFCC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Rb</w:t>
            </w:r>
          </w:p>
        </w:tc>
        <w:tc>
          <w:tcPr>
            <w:tcW w:w="3880" w:type="dxa"/>
            <w:shd w:val="clear" w:color="000000" w:fill="FFFFCC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Naziv programa</w:t>
            </w:r>
          </w:p>
        </w:tc>
        <w:tc>
          <w:tcPr>
            <w:tcW w:w="1386" w:type="dxa"/>
            <w:shd w:val="clear" w:color="000000" w:fill="FFFFCC"/>
            <w:noWrap/>
            <w:vAlign w:val="bottom"/>
            <w:hideMark/>
          </w:tcPr>
          <w:p w:rsidR="004C3632" w:rsidRPr="002B7526" w:rsidRDefault="00A93E56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2023</w:t>
            </w:r>
            <w:r w:rsidR="004C3632" w:rsidRPr="002B75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6" w:type="dxa"/>
            <w:shd w:val="clear" w:color="000000" w:fill="FFFFCC"/>
            <w:noWrap/>
            <w:vAlign w:val="bottom"/>
            <w:hideMark/>
          </w:tcPr>
          <w:p w:rsidR="004C3632" w:rsidRPr="002B7526" w:rsidRDefault="00196E13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2024</w:t>
            </w:r>
            <w:r w:rsidR="004C3632" w:rsidRPr="002B752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386" w:type="dxa"/>
            <w:shd w:val="clear" w:color="000000" w:fill="FFFFCC"/>
            <w:noWrap/>
            <w:vAlign w:val="bottom"/>
            <w:hideMark/>
          </w:tcPr>
          <w:p w:rsidR="004C3632" w:rsidRPr="002B7526" w:rsidRDefault="004C3632" w:rsidP="00196E13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</w:t>
            </w:r>
            <w:r w:rsidR="00196E13" w:rsidRPr="002B7526">
              <w:rPr>
                <w:color w:val="000000"/>
                <w:sz w:val="22"/>
                <w:szCs w:val="22"/>
              </w:rPr>
              <w:t>5</w:t>
            </w:r>
            <w:r w:rsidRPr="002B7526">
              <w:rPr>
                <w:color w:val="000000"/>
                <w:sz w:val="22"/>
                <w:szCs w:val="22"/>
              </w:rPr>
              <w:t>.</w:t>
            </w:r>
          </w:p>
        </w:tc>
      </w:tr>
      <w:tr w:rsidR="004C3632" w:rsidRPr="002B7526" w:rsidTr="00637F3D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8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opća uprava, osobna stanja i matičarstvo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A93E56" w:rsidP="004C363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A93E56" w:rsidP="004C363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A93E56" w:rsidP="004C363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</w:tr>
      <w:tr w:rsidR="004C3632" w:rsidRPr="002B7526" w:rsidTr="00A93E56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880" w:type="dxa"/>
            <w:shd w:val="clear" w:color="auto" w:fill="auto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Imovinsko-pravni poslovi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4C3632" w:rsidRPr="002B7526" w:rsidRDefault="00196E13" w:rsidP="004C363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212.000,00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4C3632" w:rsidRPr="002B7526" w:rsidRDefault="00196E13" w:rsidP="00196E13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212.000,00</w:t>
            </w:r>
          </w:p>
        </w:tc>
        <w:tc>
          <w:tcPr>
            <w:tcW w:w="1386" w:type="dxa"/>
            <w:shd w:val="clear" w:color="auto" w:fill="auto"/>
            <w:noWrap/>
            <w:vAlign w:val="bottom"/>
          </w:tcPr>
          <w:p w:rsidR="004C3632" w:rsidRPr="002B7526" w:rsidRDefault="00196E13" w:rsidP="004C363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212.000,00</w:t>
            </w:r>
          </w:p>
        </w:tc>
      </w:tr>
      <w:tr w:rsidR="004C3632" w:rsidRPr="002B7526" w:rsidTr="00196E13">
        <w:trPr>
          <w:trHeight w:val="300"/>
        </w:trPr>
        <w:tc>
          <w:tcPr>
            <w:tcW w:w="720" w:type="dxa"/>
            <w:shd w:val="clear" w:color="000000" w:fill="C6EFCE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 </w:t>
            </w:r>
          </w:p>
        </w:tc>
        <w:tc>
          <w:tcPr>
            <w:tcW w:w="3880" w:type="dxa"/>
            <w:shd w:val="clear" w:color="000000" w:fill="C6EFCE"/>
            <w:noWrap/>
            <w:vAlign w:val="bottom"/>
            <w:hideMark/>
          </w:tcPr>
          <w:p w:rsidR="004C3632" w:rsidRPr="002B7526" w:rsidRDefault="004C3632" w:rsidP="004C3632">
            <w:pPr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UKUPNO RAZDJEL 107</w:t>
            </w:r>
          </w:p>
        </w:tc>
        <w:tc>
          <w:tcPr>
            <w:tcW w:w="1386" w:type="dxa"/>
            <w:shd w:val="clear" w:color="000000" w:fill="C6EFCE"/>
            <w:noWrap/>
            <w:vAlign w:val="bottom"/>
            <w:hideMark/>
          </w:tcPr>
          <w:p w:rsidR="004C3632" w:rsidRPr="002B7526" w:rsidRDefault="00196E13" w:rsidP="004C3632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305.000,00</w:t>
            </w:r>
          </w:p>
        </w:tc>
        <w:tc>
          <w:tcPr>
            <w:tcW w:w="1386" w:type="dxa"/>
            <w:shd w:val="clear" w:color="000000" w:fill="C6EFCE"/>
            <w:noWrap/>
            <w:vAlign w:val="bottom"/>
          </w:tcPr>
          <w:p w:rsidR="004C3632" w:rsidRPr="002B7526" w:rsidRDefault="00196E13" w:rsidP="004C3632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305.000,00</w:t>
            </w:r>
          </w:p>
        </w:tc>
        <w:tc>
          <w:tcPr>
            <w:tcW w:w="1386" w:type="dxa"/>
            <w:shd w:val="clear" w:color="000000" w:fill="C6EFCE"/>
            <w:noWrap/>
            <w:vAlign w:val="bottom"/>
          </w:tcPr>
          <w:p w:rsidR="004C3632" w:rsidRPr="002B7526" w:rsidRDefault="00196E13" w:rsidP="004C3632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305.000,00</w:t>
            </w:r>
          </w:p>
        </w:tc>
      </w:tr>
    </w:tbl>
    <w:p w:rsidR="00B67A4B" w:rsidRPr="002B7526" w:rsidRDefault="00B67A4B">
      <w:pPr>
        <w:rPr>
          <w:rStyle w:val="Strong"/>
          <w:sz w:val="22"/>
          <w:szCs w:val="22"/>
        </w:rPr>
      </w:pPr>
    </w:p>
    <w:p w:rsidR="004C3632" w:rsidRPr="002B7526" w:rsidRDefault="007C3C24">
      <w:pPr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NAZIV PROGRAMA: OPĆA UPRAVA, OSOBNA STANJA I MATIČARSTVO</w:t>
      </w:r>
    </w:p>
    <w:p w:rsidR="007C3C24" w:rsidRPr="002B7526" w:rsidRDefault="007C3C24">
      <w:pPr>
        <w:rPr>
          <w:rStyle w:val="Strong"/>
          <w:sz w:val="22"/>
          <w:szCs w:val="22"/>
        </w:rPr>
      </w:pPr>
    </w:p>
    <w:p w:rsidR="007C3C24" w:rsidRPr="002B7526" w:rsidRDefault="007C3C24" w:rsidP="00637F3D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sz w:val="22"/>
          <w:szCs w:val="22"/>
        </w:rPr>
        <w:t>Opći cilj</w:t>
      </w:r>
      <w:r w:rsidR="00EF6A1F" w:rsidRPr="002B7526">
        <w:rPr>
          <w:rStyle w:val="Strong"/>
          <w:sz w:val="22"/>
          <w:szCs w:val="22"/>
        </w:rPr>
        <w:t xml:space="preserve"> programa</w:t>
      </w:r>
      <w:r w:rsidRPr="002B7526">
        <w:rPr>
          <w:rStyle w:val="Strong"/>
          <w:sz w:val="22"/>
          <w:szCs w:val="22"/>
        </w:rPr>
        <w:t>:</w:t>
      </w:r>
      <w:r w:rsidR="00EF6A1F" w:rsidRPr="002B7526">
        <w:rPr>
          <w:rStyle w:val="Strong"/>
          <w:sz w:val="22"/>
          <w:szCs w:val="22"/>
        </w:rPr>
        <w:t xml:space="preserve"> </w:t>
      </w:r>
      <w:r w:rsidR="00EF6A1F" w:rsidRPr="002B7526">
        <w:rPr>
          <w:rStyle w:val="Strong"/>
          <w:b w:val="0"/>
          <w:sz w:val="22"/>
          <w:szCs w:val="22"/>
        </w:rPr>
        <w:t xml:space="preserve">U okviru ovog programa provode se aktivnosti s ciljem osiguranja materijalnih i drugih uvjeta za redovno funkcioniranje odjeljka za matičarstvo, što se posebno odnosi na </w:t>
      </w:r>
      <w:r w:rsidR="00EF6A1F" w:rsidRPr="002B7526">
        <w:rPr>
          <w:rStyle w:val="Strong"/>
          <w:sz w:val="22"/>
          <w:szCs w:val="22"/>
        </w:rPr>
        <w:t xml:space="preserve"> s</w:t>
      </w:r>
      <w:r w:rsidRPr="002B7526">
        <w:rPr>
          <w:rStyle w:val="Strong"/>
          <w:b w:val="0"/>
          <w:sz w:val="22"/>
          <w:szCs w:val="22"/>
        </w:rPr>
        <w:t xml:space="preserve">klapanje braka </w:t>
      </w:r>
      <w:r w:rsidR="00637F3D" w:rsidRPr="002B7526">
        <w:rPr>
          <w:rStyle w:val="Strong"/>
          <w:b w:val="0"/>
          <w:sz w:val="22"/>
          <w:szCs w:val="22"/>
        </w:rPr>
        <w:t xml:space="preserve">i/ili životnog partnerstva </w:t>
      </w:r>
      <w:r w:rsidRPr="002B7526">
        <w:rPr>
          <w:rStyle w:val="Strong"/>
          <w:b w:val="0"/>
          <w:sz w:val="22"/>
          <w:szCs w:val="22"/>
        </w:rPr>
        <w:t>pred matič</w:t>
      </w:r>
      <w:r w:rsidR="001F4639" w:rsidRPr="002B7526">
        <w:rPr>
          <w:rStyle w:val="Strong"/>
          <w:b w:val="0"/>
          <w:sz w:val="22"/>
          <w:szCs w:val="22"/>
        </w:rPr>
        <w:t>arem izvan službenih prostorija kao i nabavu uredskog materijala i opreme za rad te obavljanja poslova održavanja opreme i ureda.</w:t>
      </w:r>
    </w:p>
    <w:p w:rsidR="00EF6A1F" w:rsidRPr="002B7526" w:rsidRDefault="00EF6A1F" w:rsidP="00637F3D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Povezanost programa sa strateškim dokumentima:</w:t>
      </w:r>
    </w:p>
    <w:p w:rsidR="00EF6A1F" w:rsidRPr="002B7526" w:rsidRDefault="00EF6A1F" w:rsidP="00637F3D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Ovaj program ne doprinosi izravno ostvarenju ciljeva iz plana razvoja Dubrovačko-neretvanske županije do 2027. godine („</w:t>
      </w:r>
      <w:r w:rsidR="00CF0114" w:rsidRPr="002B7526">
        <w:rPr>
          <w:rStyle w:val="Strong"/>
          <w:b w:val="0"/>
          <w:sz w:val="22"/>
          <w:szCs w:val="22"/>
        </w:rPr>
        <w:t>S</w:t>
      </w:r>
      <w:r w:rsidRPr="002B7526">
        <w:rPr>
          <w:rStyle w:val="Strong"/>
          <w:b w:val="0"/>
          <w:sz w:val="22"/>
          <w:szCs w:val="22"/>
        </w:rPr>
        <w:t>lužbeni glasnik Dubrovačko-neretvanske županije,“, broj 23</w:t>
      </w:r>
      <w:r w:rsidR="00CF0114" w:rsidRPr="002B7526">
        <w:rPr>
          <w:rStyle w:val="Strong"/>
          <w:b w:val="0"/>
          <w:sz w:val="22"/>
          <w:szCs w:val="22"/>
        </w:rPr>
        <w:t>/</w:t>
      </w:r>
      <w:r w:rsidRPr="002B7526">
        <w:rPr>
          <w:rStyle w:val="Strong"/>
          <w:b w:val="0"/>
          <w:sz w:val="22"/>
          <w:szCs w:val="22"/>
        </w:rPr>
        <w:t>21</w:t>
      </w:r>
      <w:r w:rsidR="00CF0114" w:rsidRPr="002B7526">
        <w:rPr>
          <w:rStyle w:val="Strong"/>
          <w:b w:val="0"/>
          <w:sz w:val="22"/>
          <w:szCs w:val="22"/>
        </w:rPr>
        <w:t>).</w:t>
      </w:r>
      <w:r w:rsidRPr="002B7526">
        <w:rPr>
          <w:rStyle w:val="Strong"/>
          <w:b w:val="0"/>
          <w:sz w:val="22"/>
          <w:szCs w:val="22"/>
        </w:rPr>
        <w:t xml:space="preserve"> </w:t>
      </w:r>
    </w:p>
    <w:p w:rsidR="007C3C24" w:rsidRPr="002B7526" w:rsidRDefault="00637F3D" w:rsidP="00637F3D">
      <w:pPr>
        <w:jc w:val="both"/>
        <w:rPr>
          <w:sz w:val="22"/>
          <w:szCs w:val="22"/>
        </w:rPr>
      </w:pPr>
      <w:r w:rsidRPr="002B7526">
        <w:rPr>
          <w:rStyle w:val="Strong"/>
          <w:sz w:val="22"/>
          <w:szCs w:val="22"/>
        </w:rPr>
        <w:lastRenderedPageBreak/>
        <w:t>Zakonska osnova</w:t>
      </w:r>
      <w:r w:rsidRPr="002B7526">
        <w:rPr>
          <w:rStyle w:val="Strong"/>
          <w:b w:val="0"/>
          <w:sz w:val="22"/>
          <w:szCs w:val="22"/>
        </w:rPr>
        <w:t xml:space="preserve">: </w:t>
      </w:r>
      <w:r w:rsidRPr="002B7526">
        <w:rPr>
          <w:sz w:val="22"/>
          <w:szCs w:val="22"/>
        </w:rPr>
        <w:t>Pravilnik o mjerilima za određivanje iznosa i namjeni naknade ostvarene za sklapanje braka izvan službene prostorije („Narodne novine“, broj: 36/20) i Pravilnik o mjerilima za određivanje iznosa i namjeni naknade ostvarene za sklapanje životnog partnerstva izvan službene prostorije („Narodne novine“, broj: 36/20).</w:t>
      </w:r>
    </w:p>
    <w:p w:rsidR="00637F3D" w:rsidRPr="002B7526" w:rsidRDefault="00637F3D" w:rsidP="00637F3D">
      <w:pPr>
        <w:jc w:val="both"/>
        <w:rPr>
          <w:b/>
          <w:sz w:val="22"/>
          <w:szCs w:val="22"/>
        </w:rPr>
      </w:pPr>
      <w:r w:rsidRPr="002B7526">
        <w:rPr>
          <w:b/>
          <w:sz w:val="22"/>
          <w:szCs w:val="22"/>
        </w:rPr>
        <w:t>Nositelj aktivnosti:</w:t>
      </w:r>
      <w:r w:rsidR="000039C1" w:rsidRPr="002B7526">
        <w:rPr>
          <w:b/>
          <w:sz w:val="22"/>
          <w:szCs w:val="22"/>
        </w:rPr>
        <w:t xml:space="preserve"> </w:t>
      </w:r>
      <w:r w:rsidR="000039C1" w:rsidRPr="002B7526">
        <w:rPr>
          <w:sz w:val="22"/>
          <w:szCs w:val="22"/>
        </w:rPr>
        <w:t>Upravni odjel za opću upravu i imovinsko-pravne poslove,</w:t>
      </w:r>
      <w:r w:rsidR="000039C1" w:rsidRPr="002B7526">
        <w:rPr>
          <w:b/>
          <w:sz w:val="22"/>
          <w:szCs w:val="22"/>
        </w:rPr>
        <w:t xml:space="preserve"> </w:t>
      </w:r>
      <w:r w:rsidRPr="002B7526">
        <w:rPr>
          <w:b/>
          <w:sz w:val="22"/>
          <w:szCs w:val="22"/>
        </w:rPr>
        <w:t xml:space="preserve"> </w:t>
      </w:r>
      <w:r w:rsidRPr="002B7526">
        <w:rPr>
          <w:sz w:val="22"/>
          <w:szCs w:val="22"/>
        </w:rPr>
        <w:t>Odjeljak za matičarstvo</w:t>
      </w:r>
    </w:p>
    <w:p w:rsidR="00637F3D" w:rsidRPr="002B7526" w:rsidRDefault="0002649F" w:rsidP="00637F3D">
      <w:pPr>
        <w:jc w:val="both"/>
        <w:rPr>
          <w:sz w:val="22"/>
          <w:szCs w:val="22"/>
        </w:rPr>
      </w:pPr>
      <w:r w:rsidRPr="002B7526">
        <w:rPr>
          <w:b/>
          <w:sz w:val="22"/>
          <w:szCs w:val="22"/>
        </w:rPr>
        <w:t>Ishodište i pokazatelji na koji</w:t>
      </w:r>
      <w:r w:rsidR="00884BB7" w:rsidRPr="002B7526">
        <w:rPr>
          <w:b/>
          <w:sz w:val="22"/>
          <w:szCs w:val="22"/>
        </w:rPr>
        <w:t>ma se zasnivaju izračuni i ocje</w:t>
      </w:r>
      <w:r w:rsidRPr="002B7526">
        <w:rPr>
          <w:b/>
          <w:sz w:val="22"/>
          <w:szCs w:val="22"/>
        </w:rPr>
        <w:t xml:space="preserve">ne potrebnih sredstava za provođenje programa: </w:t>
      </w:r>
      <w:r w:rsidRPr="002B7526">
        <w:rPr>
          <w:sz w:val="22"/>
          <w:szCs w:val="22"/>
        </w:rPr>
        <w:t>ostvarenje planiranih sredstava u protekloj godini</w:t>
      </w:r>
      <w:r w:rsidR="00CF0114" w:rsidRPr="002B7526">
        <w:rPr>
          <w:sz w:val="22"/>
          <w:szCs w:val="22"/>
        </w:rPr>
        <w:t xml:space="preserve"> </w:t>
      </w:r>
      <w:r w:rsidR="000B0145" w:rsidRPr="002B7526">
        <w:rPr>
          <w:sz w:val="22"/>
          <w:szCs w:val="22"/>
        </w:rPr>
        <w:t>te postojeće najave vjenčanja za 2023. godinu.</w:t>
      </w:r>
    </w:p>
    <w:p w:rsidR="001F4639" w:rsidRPr="002B7526" w:rsidRDefault="001F4639" w:rsidP="00637F3D">
      <w:pPr>
        <w:jc w:val="both"/>
        <w:rPr>
          <w:rStyle w:val="Strong"/>
          <w:b w:val="0"/>
          <w:sz w:val="22"/>
          <w:szCs w:val="22"/>
        </w:rPr>
      </w:pPr>
    </w:p>
    <w:p w:rsidR="001F4639" w:rsidRPr="002B7526" w:rsidRDefault="001F4639" w:rsidP="00637F3D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NAČIN I SREDSTVA ZA REALIZACIJU PROGRAMA:</w:t>
      </w:r>
    </w:p>
    <w:p w:rsidR="0002649F" w:rsidRPr="002B7526" w:rsidRDefault="0002649F" w:rsidP="00637F3D">
      <w:pPr>
        <w:jc w:val="both"/>
        <w:rPr>
          <w:rStyle w:val="Strong"/>
          <w:b w:val="0"/>
          <w:sz w:val="22"/>
          <w:szCs w:val="22"/>
        </w:rPr>
      </w:pPr>
    </w:p>
    <w:tbl>
      <w:tblPr>
        <w:tblW w:w="8931" w:type="dxa"/>
        <w:tblInd w:w="-5" w:type="dxa"/>
        <w:tblLook w:val="04A0"/>
      </w:tblPr>
      <w:tblGrid>
        <w:gridCol w:w="580"/>
        <w:gridCol w:w="3106"/>
        <w:gridCol w:w="1701"/>
        <w:gridCol w:w="1559"/>
        <w:gridCol w:w="1985"/>
      </w:tblGrid>
      <w:tr w:rsidR="000B0145" w:rsidRPr="002B7526" w:rsidTr="001F4639">
        <w:trPr>
          <w:trHeight w:val="300"/>
        </w:trPr>
        <w:tc>
          <w:tcPr>
            <w:tcW w:w="58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R. br.</w:t>
            </w:r>
          </w:p>
        </w:tc>
        <w:tc>
          <w:tcPr>
            <w:tcW w:w="3106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614E5C" w:rsidP="00614E5C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Na</w:t>
            </w:r>
            <w:r w:rsidR="000B0145" w:rsidRPr="002B7526">
              <w:rPr>
                <w:color w:val="000000"/>
                <w:sz w:val="22"/>
                <w:szCs w:val="22"/>
              </w:rPr>
              <w:t>ziv aktivnosti</w:t>
            </w:r>
          </w:p>
        </w:tc>
        <w:tc>
          <w:tcPr>
            <w:tcW w:w="1701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2023.</w:t>
            </w:r>
          </w:p>
        </w:tc>
        <w:tc>
          <w:tcPr>
            <w:tcW w:w="155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2024.</w:t>
            </w:r>
          </w:p>
        </w:tc>
        <w:tc>
          <w:tcPr>
            <w:tcW w:w="198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2025.</w:t>
            </w:r>
          </w:p>
        </w:tc>
      </w:tr>
      <w:tr w:rsidR="000B0145" w:rsidRPr="002B7526" w:rsidTr="001F4639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 </w:t>
            </w:r>
            <w:r w:rsidR="001F4639" w:rsidRPr="002B75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93.000,00</w:t>
            </w:r>
          </w:p>
        </w:tc>
      </w:tr>
      <w:tr w:rsidR="000B0145" w:rsidRPr="002B7526" w:rsidTr="001F4639">
        <w:trPr>
          <w:trHeight w:val="4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</w:tr>
      <w:tr w:rsidR="000B0145" w:rsidRPr="002B7526" w:rsidTr="001F4639">
        <w:trPr>
          <w:trHeight w:val="4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145" w:rsidRPr="002B7526" w:rsidRDefault="000B0145" w:rsidP="000B0145">
            <w:pPr>
              <w:rPr>
                <w:color w:val="000000"/>
              </w:rPr>
            </w:pPr>
          </w:p>
        </w:tc>
      </w:tr>
      <w:tr w:rsidR="000B0145" w:rsidRPr="002B7526" w:rsidTr="001F463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 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UKUPNO aktivnost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93.000,00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93.000,00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0B0145" w:rsidRPr="002B7526" w:rsidRDefault="000B0145" w:rsidP="000B0145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93.000,00</w:t>
            </w:r>
          </w:p>
        </w:tc>
      </w:tr>
    </w:tbl>
    <w:p w:rsidR="001F4639" w:rsidRPr="002B7526" w:rsidRDefault="001F4639" w:rsidP="001F4639">
      <w:pPr>
        <w:jc w:val="both"/>
        <w:rPr>
          <w:rStyle w:val="Strong"/>
          <w:sz w:val="22"/>
          <w:szCs w:val="22"/>
        </w:rPr>
      </w:pPr>
    </w:p>
    <w:p w:rsidR="001F4639" w:rsidRPr="002B7526" w:rsidRDefault="001F4639" w:rsidP="001F4639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RAZLOG ODSTUPANJA OD PROŠLOGODIŠNJIH PROJEKCIJA</w:t>
      </w:r>
    </w:p>
    <w:p w:rsidR="001F4639" w:rsidRPr="002B7526" w:rsidRDefault="001F4639" w:rsidP="001F4639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 xml:space="preserve">Unutar aktivnosti troškovi sklapanja braka pred matičarem izvan službenih prostorija sredstva za 2023. godinu se povećavaju za </w:t>
      </w:r>
      <w:r w:rsidR="00001F93" w:rsidRPr="002B7526">
        <w:rPr>
          <w:rStyle w:val="Strong"/>
          <w:b w:val="0"/>
          <w:sz w:val="22"/>
          <w:szCs w:val="22"/>
        </w:rPr>
        <w:t>25.217,33</w:t>
      </w:r>
      <w:r w:rsidRPr="002B7526">
        <w:rPr>
          <w:rStyle w:val="Strong"/>
          <w:b w:val="0"/>
          <w:sz w:val="22"/>
          <w:szCs w:val="22"/>
        </w:rPr>
        <w:t xml:space="preserve"> Eur-a u odnosu na usvojene projekcije iz prethodnih godina zbog povećanog broja vjenčanja u prethodnoj godini i već pristiglih najava za 2023. godinu.</w:t>
      </w:r>
    </w:p>
    <w:p w:rsidR="001F4639" w:rsidRPr="002B7526" w:rsidRDefault="001F4639" w:rsidP="001F4639">
      <w:pPr>
        <w:jc w:val="both"/>
        <w:rPr>
          <w:rStyle w:val="Strong"/>
          <w:b w:val="0"/>
          <w:sz w:val="22"/>
          <w:szCs w:val="22"/>
        </w:rPr>
      </w:pPr>
    </w:p>
    <w:p w:rsidR="000B0145" w:rsidRPr="002B7526" w:rsidRDefault="000B0145" w:rsidP="00637F3D">
      <w:pPr>
        <w:jc w:val="both"/>
        <w:rPr>
          <w:rStyle w:val="Strong"/>
          <w:sz w:val="22"/>
          <w:szCs w:val="22"/>
        </w:rPr>
      </w:pPr>
    </w:p>
    <w:p w:rsidR="0002649F" w:rsidRPr="002B7526" w:rsidRDefault="0002649F" w:rsidP="0002649F">
      <w:pPr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NAZIV PROGRAMA: IMOVINSKO PRAVNI POSLOVI</w:t>
      </w:r>
    </w:p>
    <w:p w:rsidR="0002649F" w:rsidRPr="002B7526" w:rsidRDefault="0002649F" w:rsidP="0002649F">
      <w:pPr>
        <w:rPr>
          <w:rStyle w:val="Strong"/>
          <w:b w:val="0"/>
          <w:sz w:val="22"/>
          <w:szCs w:val="22"/>
        </w:rPr>
      </w:pPr>
      <w:r w:rsidRPr="002B7526">
        <w:rPr>
          <w:rStyle w:val="Strong"/>
          <w:sz w:val="22"/>
          <w:szCs w:val="22"/>
        </w:rPr>
        <w:t xml:space="preserve">Opći cilj: </w:t>
      </w:r>
      <w:r w:rsidRPr="002B7526">
        <w:rPr>
          <w:rStyle w:val="Strong"/>
          <w:b w:val="0"/>
          <w:sz w:val="22"/>
          <w:szCs w:val="22"/>
        </w:rPr>
        <w:t>Provedba upravnih postupaka koji se odnose na potpuno i/ili nepotpuno izvlaštenje nekretnina i utvrđivanje naknade za imovinu oduzetu za vrijeme jugoslavenske komunističke vladavine.</w:t>
      </w:r>
    </w:p>
    <w:p w:rsidR="002F608A" w:rsidRPr="002B7526" w:rsidRDefault="002F608A" w:rsidP="002F608A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Povezanost programa sa strateškim dokumentima:</w:t>
      </w:r>
    </w:p>
    <w:p w:rsidR="00024628" w:rsidRPr="002B7526" w:rsidRDefault="00024628" w:rsidP="002F608A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Poseban cilj: 4.1. razvoj sustava prostornog planiranja i upravljanja imovinom te jačanje kvalitete institucija u javnom sektoru.</w:t>
      </w:r>
    </w:p>
    <w:p w:rsidR="00024628" w:rsidRPr="002B7526" w:rsidRDefault="00024628" w:rsidP="002F608A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Mjera: 4.1.1. jačanje kvalitete županijskih i lokalnih institucija</w:t>
      </w:r>
    </w:p>
    <w:p w:rsidR="0002649F" w:rsidRPr="002B7526" w:rsidRDefault="0002649F" w:rsidP="0002649F">
      <w:pPr>
        <w:rPr>
          <w:sz w:val="22"/>
          <w:szCs w:val="22"/>
        </w:rPr>
      </w:pPr>
      <w:r w:rsidRPr="002B7526">
        <w:rPr>
          <w:rStyle w:val="Strong"/>
          <w:sz w:val="22"/>
          <w:szCs w:val="22"/>
        </w:rPr>
        <w:t>Zakonska osnova</w:t>
      </w:r>
      <w:r w:rsidRPr="002B7526">
        <w:rPr>
          <w:rStyle w:val="Strong"/>
          <w:b w:val="0"/>
          <w:sz w:val="22"/>
          <w:szCs w:val="22"/>
        </w:rPr>
        <w:t xml:space="preserve">: </w:t>
      </w:r>
      <w:r w:rsidR="000039C1" w:rsidRPr="002B7526">
        <w:rPr>
          <w:sz w:val="22"/>
          <w:szCs w:val="22"/>
        </w:rPr>
        <w:t>Zakon o izvlaštenju i određivanju naknade („Narodne novine</w:t>
      </w:r>
      <w:r w:rsidR="00024628" w:rsidRPr="002B7526">
        <w:rPr>
          <w:sz w:val="22"/>
          <w:szCs w:val="22"/>
        </w:rPr>
        <w:t>“, broj 74/14, 69/17, 98/19) i Z</w:t>
      </w:r>
      <w:r w:rsidR="000039C1" w:rsidRPr="002B7526">
        <w:rPr>
          <w:sz w:val="22"/>
          <w:szCs w:val="22"/>
        </w:rPr>
        <w:t>akon o naknadi za imovinu oduzetu za vrijeme jugoslavenske komunističke vladavine („Narodne novine“, broj: 92/96, 80/02, 81/02 i 98/19).</w:t>
      </w:r>
    </w:p>
    <w:p w:rsidR="000039C1" w:rsidRPr="002B7526" w:rsidRDefault="000039C1" w:rsidP="0002649F">
      <w:pPr>
        <w:rPr>
          <w:sz w:val="22"/>
          <w:szCs w:val="22"/>
        </w:rPr>
      </w:pPr>
    </w:p>
    <w:p w:rsidR="000039C1" w:rsidRPr="002B7526" w:rsidRDefault="000039C1" w:rsidP="0002649F">
      <w:pPr>
        <w:rPr>
          <w:sz w:val="22"/>
          <w:szCs w:val="22"/>
        </w:rPr>
      </w:pPr>
      <w:r w:rsidRPr="002B7526">
        <w:rPr>
          <w:b/>
          <w:sz w:val="22"/>
          <w:szCs w:val="22"/>
        </w:rPr>
        <w:t>Posebni cilj</w:t>
      </w:r>
      <w:r w:rsidRPr="002B7526">
        <w:rPr>
          <w:sz w:val="22"/>
          <w:szCs w:val="22"/>
        </w:rPr>
        <w:t>: Isplata deponiranih sredstava vlasnicima potpuno i/ili nepotpuno izvlaštenih nekretnina te isplata naknade procijeniteljima i punomoćnicima-odvjetnicima stranaka</w:t>
      </w:r>
      <w:r w:rsidR="00024628" w:rsidRPr="002B7526">
        <w:rPr>
          <w:sz w:val="22"/>
          <w:szCs w:val="22"/>
        </w:rPr>
        <w:t xml:space="preserve"> u postupcima izvlaštenja kao i korištenje sredstava za troškove zaposlenih, stručnu literaturu i opremu.</w:t>
      </w:r>
    </w:p>
    <w:p w:rsidR="000039C1" w:rsidRPr="002B7526" w:rsidRDefault="000039C1" w:rsidP="000039C1">
      <w:pPr>
        <w:jc w:val="both"/>
        <w:rPr>
          <w:sz w:val="22"/>
          <w:szCs w:val="22"/>
        </w:rPr>
      </w:pPr>
      <w:r w:rsidRPr="002B7526">
        <w:rPr>
          <w:b/>
          <w:sz w:val="22"/>
          <w:szCs w:val="22"/>
        </w:rPr>
        <w:t>Nositelj aktivnosti</w:t>
      </w:r>
      <w:r w:rsidRPr="002B7526">
        <w:rPr>
          <w:sz w:val="22"/>
          <w:szCs w:val="22"/>
        </w:rPr>
        <w:t>:Upravni odjel za opću upravu i imovinsko-pravne poslove.</w:t>
      </w:r>
    </w:p>
    <w:p w:rsidR="000039C1" w:rsidRPr="002B7526" w:rsidRDefault="000039C1" w:rsidP="000039C1">
      <w:pPr>
        <w:jc w:val="both"/>
        <w:rPr>
          <w:sz w:val="22"/>
          <w:szCs w:val="22"/>
        </w:rPr>
      </w:pPr>
      <w:r w:rsidRPr="002B7526">
        <w:rPr>
          <w:b/>
          <w:sz w:val="22"/>
          <w:szCs w:val="22"/>
        </w:rPr>
        <w:t xml:space="preserve">Ishodište i pokazatelji na kojima se zasnivaju izračuni i ocjemne potrebnih sredstava za provođenje programa: </w:t>
      </w:r>
      <w:r w:rsidRPr="002B7526">
        <w:rPr>
          <w:sz w:val="22"/>
          <w:szCs w:val="22"/>
        </w:rPr>
        <w:t>izračuni i ocjene potrebnih sredstava za provođenje programa temelje se na potrošenim sredstvi</w:t>
      </w:r>
      <w:r w:rsidR="00024628" w:rsidRPr="002B7526">
        <w:rPr>
          <w:sz w:val="22"/>
          <w:szCs w:val="22"/>
        </w:rPr>
        <w:t xml:space="preserve">ma iz prethodnih godina, kao i </w:t>
      </w:r>
      <w:r w:rsidRPr="002B7526">
        <w:rPr>
          <w:sz w:val="22"/>
          <w:szCs w:val="22"/>
        </w:rPr>
        <w:t xml:space="preserve">na procjeni s obzirom na podnesene zahtjeve za izvlaštenje kao i na pravomoćna i izvršna rješenja o isplati vlasnicima izvlaštenih nekretnina, te rješenja o isplati nagrade </w:t>
      </w:r>
      <w:r w:rsidR="00434C10" w:rsidRPr="002B7526">
        <w:rPr>
          <w:sz w:val="22"/>
          <w:szCs w:val="22"/>
        </w:rPr>
        <w:t>vješta</w:t>
      </w:r>
      <w:r w:rsidR="00024628" w:rsidRPr="002B7526">
        <w:rPr>
          <w:sz w:val="22"/>
          <w:szCs w:val="22"/>
        </w:rPr>
        <w:t>cima i privremenim zastupnicima, kao i na već zapoćete projekte za koje je nužna provedba postupaka izvlaštenja.</w:t>
      </w:r>
    </w:p>
    <w:p w:rsidR="00024628" w:rsidRPr="002B7526" w:rsidRDefault="00024628" w:rsidP="00024628">
      <w:pPr>
        <w:jc w:val="both"/>
        <w:rPr>
          <w:rStyle w:val="Strong"/>
          <w:sz w:val="22"/>
          <w:szCs w:val="22"/>
        </w:rPr>
      </w:pPr>
    </w:p>
    <w:p w:rsidR="00024628" w:rsidRPr="002B7526" w:rsidRDefault="00024628" w:rsidP="00024628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NAČIN I SREDSTVA ZA REALIZACIJU PROGRAMA:</w:t>
      </w:r>
    </w:p>
    <w:p w:rsidR="0002649F" w:rsidRPr="002B7526" w:rsidRDefault="0002649F" w:rsidP="00637F3D">
      <w:pPr>
        <w:jc w:val="both"/>
        <w:rPr>
          <w:rStyle w:val="Strong"/>
          <w:sz w:val="22"/>
          <w:szCs w:val="22"/>
        </w:rPr>
      </w:pPr>
    </w:p>
    <w:p w:rsidR="00024628" w:rsidRPr="002B7526" w:rsidRDefault="00024628" w:rsidP="00637F3D">
      <w:pPr>
        <w:jc w:val="both"/>
        <w:rPr>
          <w:rStyle w:val="Strong"/>
          <w:sz w:val="22"/>
          <w:szCs w:val="22"/>
        </w:rPr>
      </w:pPr>
    </w:p>
    <w:tbl>
      <w:tblPr>
        <w:tblW w:w="8320" w:type="dxa"/>
        <w:tblLook w:val="04A0"/>
      </w:tblPr>
      <w:tblGrid>
        <w:gridCol w:w="720"/>
        <w:gridCol w:w="3880"/>
        <w:gridCol w:w="1240"/>
        <w:gridCol w:w="1240"/>
        <w:gridCol w:w="1240"/>
      </w:tblGrid>
      <w:tr w:rsidR="00AD4552" w:rsidRPr="002B7526" w:rsidTr="00AD4552">
        <w:trPr>
          <w:trHeight w:val="300"/>
        </w:trPr>
        <w:tc>
          <w:tcPr>
            <w:tcW w:w="72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Rb</w:t>
            </w:r>
          </w:p>
        </w:tc>
        <w:tc>
          <w:tcPr>
            <w:tcW w:w="388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614E5C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N</w:t>
            </w:r>
            <w:r w:rsidR="00AD4552" w:rsidRPr="002B7526">
              <w:rPr>
                <w:color w:val="000000"/>
                <w:sz w:val="22"/>
                <w:szCs w:val="22"/>
              </w:rPr>
              <w:t>aziv aktivnosti/projekta</w:t>
            </w:r>
          </w:p>
        </w:tc>
        <w:tc>
          <w:tcPr>
            <w:tcW w:w="12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024628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2023</w:t>
            </w:r>
            <w:r w:rsidR="00AD4552" w:rsidRPr="002B75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AD4552" w:rsidP="00024628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</w:t>
            </w:r>
            <w:r w:rsidR="00024628" w:rsidRPr="002B7526">
              <w:rPr>
                <w:color w:val="000000"/>
                <w:sz w:val="22"/>
                <w:szCs w:val="22"/>
              </w:rPr>
              <w:t>4</w:t>
            </w:r>
            <w:r w:rsidRPr="002B752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D4552" w:rsidRPr="002B7526" w:rsidRDefault="00AD4552" w:rsidP="00024628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202</w:t>
            </w:r>
            <w:r w:rsidR="00024628" w:rsidRPr="002B7526">
              <w:rPr>
                <w:color w:val="000000"/>
                <w:sz w:val="22"/>
                <w:szCs w:val="22"/>
              </w:rPr>
              <w:t>5</w:t>
            </w:r>
            <w:r w:rsidRPr="002B7526">
              <w:rPr>
                <w:color w:val="000000"/>
                <w:sz w:val="22"/>
                <w:szCs w:val="22"/>
              </w:rPr>
              <w:t>.</w:t>
            </w:r>
          </w:p>
        </w:tc>
      </w:tr>
      <w:tr w:rsidR="00AD4552" w:rsidRPr="002B7526" w:rsidTr="00AD4552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 xml:space="preserve">Vještačenje u postupcima za utvrđivanje </w:t>
            </w:r>
            <w:r w:rsidRPr="002B7526">
              <w:rPr>
                <w:color w:val="000000"/>
                <w:sz w:val="22"/>
                <w:szCs w:val="22"/>
              </w:rPr>
              <w:lastRenderedPageBreak/>
              <w:t>naknade za oduzetu imovine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lastRenderedPageBreak/>
              <w:t>200.000,00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200.000,00</w:t>
            </w:r>
          </w:p>
        </w:tc>
      </w:tr>
      <w:tr w:rsidR="00AD4552" w:rsidRPr="002B7526" w:rsidTr="00AD4552">
        <w:trPr>
          <w:trHeight w:val="45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</w:p>
        </w:tc>
      </w:tr>
      <w:tr w:rsidR="00AD4552" w:rsidRPr="002B7526" w:rsidTr="00AD455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sufinanciranje rada odjela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024628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12</w:t>
            </w:r>
            <w:r w:rsidR="00024628" w:rsidRPr="002B7526">
              <w:rPr>
                <w:color w:val="000000"/>
                <w:sz w:val="22"/>
                <w:szCs w:val="22"/>
              </w:rPr>
              <w:t>.</w:t>
            </w:r>
            <w:r w:rsidRPr="002B7526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024628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52" w:rsidRPr="002B7526" w:rsidRDefault="00AD4552" w:rsidP="00024628">
            <w:pPr>
              <w:jc w:val="right"/>
              <w:rPr>
                <w:color w:val="000000"/>
              </w:rPr>
            </w:pPr>
            <w:r w:rsidRPr="002B7526">
              <w:rPr>
                <w:color w:val="000000"/>
                <w:sz w:val="22"/>
                <w:szCs w:val="22"/>
              </w:rPr>
              <w:t>12.000,00</w:t>
            </w:r>
          </w:p>
        </w:tc>
      </w:tr>
      <w:tr w:rsidR="00AD4552" w:rsidRPr="002B7526" w:rsidTr="00AD4552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AD4552" w:rsidP="00AD4552">
            <w:pPr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UKUPNO PROGRAM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212.000,00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212.000,00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AD4552" w:rsidRPr="002B7526" w:rsidRDefault="00024628" w:rsidP="00AD4552">
            <w:pPr>
              <w:jc w:val="right"/>
              <w:rPr>
                <w:color w:val="006100"/>
              </w:rPr>
            </w:pPr>
            <w:r w:rsidRPr="002B7526">
              <w:rPr>
                <w:color w:val="006100"/>
                <w:sz w:val="22"/>
                <w:szCs w:val="22"/>
              </w:rPr>
              <w:t>212.000,00</w:t>
            </w:r>
          </w:p>
        </w:tc>
      </w:tr>
    </w:tbl>
    <w:p w:rsidR="00AD4552" w:rsidRPr="002B7526" w:rsidRDefault="00AD4552" w:rsidP="00637F3D">
      <w:pPr>
        <w:jc w:val="both"/>
        <w:rPr>
          <w:rStyle w:val="Strong"/>
          <w:sz w:val="22"/>
          <w:szCs w:val="22"/>
        </w:rPr>
      </w:pPr>
    </w:p>
    <w:p w:rsidR="00024628" w:rsidRPr="002B7526" w:rsidRDefault="00024628" w:rsidP="00024628">
      <w:pPr>
        <w:jc w:val="both"/>
        <w:rPr>
          <w:rStyle w:val="Strong"/>
          <w:sz w:val="22"/>
          <w:szCs w:val="22"/>
        </w:rPr>
      </w:pPr>
      <w:r w:rsidRPr="002B7526">
        <w:rPr>
          <w:rStyle w:val="Strong"/>
          <w:sz w:val="22"/>
          <w:szCs w:val="22"/>
        </w:rPr>
        <w:t>RAZLOG ODSTUPANJA OD PROŠLOGODIŠNJIH PROJEKCIJA</w:t>
      </w:r>
    </w:p>
    <w:p w:rsidR="00024628" w:rsidRPr="002B7526" w:rsidRDefault="00806455" w:rsidP="00024628">
      <w:pPr>
        <w:jc w:val="both"/>
        <w:rPr>
          <w:rStyle w:val="Strong"/>
          <w:b w:val="0"/>
          <w:sz w:val="22"/>
          <w:szCs w:val="22"/>
        </w:rPr>
      </w:pPr>
      <w:r w:rsidRPr="002B7526">
        <w:rPr>
          <w:rStyle w:val="Strong"/>
          <w:b w:val="0"/>
          <w:sz w:val="22"/>
          <w:szCs w:val="22"/>
        </w:rPr>
        <w:t>U odnosu na projekcije</w:t>
      </w:r>
      <w:r w:rsidR="00001F93" w:rsidRPr="002B7526">
        <w:rPr>
          <w:rStyle w:val="Strong"/>
          <w:b w:val="0"/>
          <w:sz w:val="22"/>
          <w:szCs w:val="22"/>
        </w:rPr>
        <w:t xml:space="preserve"> p</w:t>
      </w:r>
      <w:r w:rsidR="004B48A3" w:rsidRPr="002B7526">
        <w:rPr>
          <w:rStyle w:val="Strong"/>
          <w:b w:val="0"/>
          <w:sz w:val="22"/>
          <w:szCs w:val="22"/>
        </w:rPr>
        <w:t>ovećano je vještaćenje u postupcima za utvrđivanje naknade za oduzetu imovinu zbog večeg</w:t>
      </w:r>
      <w:r w:rsidR="00024628" w:rsidRPr="002B7526">
        <w:rPr>
          <w:rStyle w:val="Strong"/>
          <w:b w:val="0"/>
          <w:sz w:val="22"/>
          <w:szCs w:val="22"/>
        </w:rPr>
        <w:t xml:space="preserve"> broj</w:t>
      </w:r>
      <w:r w:rsidR="004B48A3" w:rsidRPr="002B7526">
        <w:rPr>
          <w:rStyle w:val="Strong"/>
          <w:b w:val="0"/>
          <w:sz w:val="22"/>
          <w:szCs w:val="22"/>
        </w:rPr>
        <w:t>a</w:t>
      </w:r>
      <w:r w:rsidR="00024628" w:rsidRPr="002B7526">
        <w:rPr>
          <w:rStyle w:val="Strong"/>
          <w:b w:val="0"/>
          <w:sz w:val="22"/>
          <w:szCs w:val="22"/>
        </w:rPr>
        <w:t xml:space="preserve"> zahtjeva za izvlaštenje i postojećih projekata za koje se očekuje izvlaštenje.</w:t>
      </w:r>
    </w:p>
    <w:p w:rsidR="00024628" w:rsidRPr="0002649F" w:rsidRDefault="00024628" w:rsidP="00637F3D">
      <w:pPr>
        <w:jc w:val="both"/>
        <w:rPr>
          <w:rStyle w:val="Strong"/>
          <w:sz w:val="22"/>
          <w:szCs w:val="22"/>
        </w:rPr>
      </w:pPr>
    </w:p>
    <w:sectPr w:rsidR="00024628" w:rsidRPr="0002649F" w:rsidSect="00B67C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CB8" w:rsidRDefault="002A7CB8" w:rsidP="00B67A4B">
      <w:r>
        <w:separator/>
      </w:r>
    </w:p>
  </w:endnote>
  <w:endnote w:type="continuationSeparator" w:id="0">
    <w:p w:rsidR="002A7CB8" w:rsidRDefault="002A7CB8" w:rsidP="00B6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1892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7A4B" w:rsidRDefault="00E14550">
        <w:pPr>
          <w:pStyle w:val="Footer"/>
          <w:jc w:val="right"/>
        </w:pPr>
        <w:r>
          <w:fldChar w:fldCharType="begin"/>
        </w:r>
        <w:r w:rsidR="00B67A4B">
          <w:instrText xml:space="preserve"> PAGE   \* MERGEFORMAT </w:instrText>
        </w:r>
        <w:r>
          <w:fldChar w:fldCharType="separate"/>
        </w:r>
        <w:r w:rsidR="00C83F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67A4B" w:rsidRDefault="00B67A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CB8" w:rsidRDefault="002A7CB8" w:rsidP="00B67A4B">
      <w:r>
        <w:separator/>
      </w:r>
    </w:p>
  </w:footnote>
  <w:footnote w:type="continuationSeparator" w:id="0">
    <w:p w:rsidR="002A7CB8" w:rsidRDefault="002A7CB8" w:rsidP="00B67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3AD4D29"/>
    <w:multiLevelType w:val="hybridMultilevel"/>
    <w:tmpl w:val="E3142B66"/>
    <w:lvl w:ilvl="0" w:tplc="30FA5A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F10474"/>
    <w:multiLevelType w:val="hybridMultilevel"/>
    <w:tmpl w:val="10B2B7E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94447"/>
    <w:multiLevelType w:val="hybridMultilevel"/>
    <w:tmpl w:val="2FC035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A4B"/>
    <w:rsid w:val="00001F93"/>
    <w:rsid w:val="000039C1"/>
    <w:rsid w:val="00024628"/>
    <w:rsid w:val="0002649F"/>
    <w:rsid w:val="000B0145"/>
    <w:rsid w:val="00196E13"/>
    <w:rsid w:val="001F4639"/>
    <w:rsid w:val="002A7CB8"/>
    <w:rsid w:val="002B7526"/>
    <w:rsid w:val="002F608A"/>
    <w:rsid w:val="003374A0"/>
    <w:rsid w:val="003A097B"/>
    <w:rsid w:val="00434C10"/>
    <w:rsid w:val="004B48A3"/>
    <w:rsid w:val="004C3632"/>
    <w:rsid w:val="00614E5C"/>
    <w:rsid w:val="00637F3D"/>
    <w:rsid w:val="006A774E"/>
    <w:rsid w:val="00725CC0"/>
    <w:rsid w:val="007C3C24"/>
    <w:rsid w:val="00806455"/>
    <w:rsid w:val="00884BB7"/>
    <w:rsid w:val="009121AA"/>
    <w:rsid w:val="0093420C"/>
    <w:rsid w:val="00A774F0"/>
    <w:rsid w:val="00A93E56"/>
    <w:rsid w:val="00AD4552"/>
    <w:rsid w:val="00B67A4B"/>
    <w:rsid w:val="00B67C90"/>
    <w:rsid w:val="00C57276"/>
    <w:rsid w:val="00C83F87"/>
    <w:rsid w:val="00CF0114"/>
    <w:rsid w:val="00E14550"/>
    <w:rsid w:val="00E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B67A4B"/>
    <w:rPr>
      <w:b/>
      <w:bCs/>
      <w:smallCaps/>
      <w:color w:val="5B9BD5" w:themeColor="accent1"/>
      <w:spacing w:val="5"/>
    </w:rPr>
  </w:style>
  <w:style w:type="character" w:styleId="Strong">
    <w:name w:val="Strong"/>
    <w:basedOn w:val="DefaultParagraphFont"/>
    <w:uiPriority w:val="22"/>
    <w:qFormat/>
    <w:rsid w:val="00B67A4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67A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A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67A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A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AA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934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IVA</cp:lastModifiedBy>
  <cp:revision>4</cp:revision>
  <cp:lastPrinted>2022-10-20T08:05:00Z</cp:lastPrinted>
  <dcterms:created xsi:type="dcterms:W3CDTF">2022-11-11T10:38:00Z</dcterms:created>
  <dcterms:modified xsi:type="dcterms:W3CDTF">2022-12-09T08:57:00Z</dcterms:modified>
</cp:coreProperties>
</file>