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468" w:rsidRDefault="00DE4468" w:rsidP="000403CB">
      <w:pPr>
        <w:pStyle w:val="NoSpacing"/>
        <w:pBdr>
          <w:bottom w:val="single" w:sz="12" w:space="1" w:color="auto"/>
        </w:pBdr>
        <w:shd w:val="clear" w:color="auto" w:fill="FFFFFF"/>
        <w:spacing w:line="276" w:lineRule="auto"/>
        <w:jc w:val="both"/>
        <w:rPr>
          <w:rFonts w:asciiTheme="minorHAnsi" w:hAnsiTheme="minorHAnsi" w:cstheme="minorHAnsi"/>
          <w:b/>
        </w:rPr>
      </w:pPr>
    </w:p>
    <w:p w:rsidR="00DE4468" w:rsidRPr="00DE4468" w:rsidRDefault="00DE4468" w:rsidP="00DE4468">
      <w:pPr>
        <w:pBdr>
          <w:bottom w:val="single" w:sz="12" w:space="1" w:color="auto"/>
        </w:pBdr>
        <w:rPr>
          <w:rFonts w:ascii="Calibri" w:hAnsi="Calibri" w:cs="Calibri"/>
          <w:b/>
          <w:iCs/>
          <w:sz w:val="22"/>
        </w:rPr>
      </w:pPr>
      <w:r w:rsidRPr="00DE4468">
        <w:rPr>
          <w:rFonts w:ascii="Calibri" w:hAnsi="Calibri" w:cs="Calibri"/>
          <w:b/>
          <w:iCs/>
          <w:sz w:val="22"/>
        </w:rPr>
        <w:t>OBRAZLOŽENJE PRORAČUNA ZA 2023. I PROJEKCIJE ZA 2024. i 2025. GODINU</w:t>
      </w:r>
    </w:p>
    <w:p w:rsidR="00DE4468" w:rsidRPr="002B7526" w:rsidRDefault="00DE4468" w:rsidP="00DE4468">
      <w:pPr>
        <w:pBdr>
          <w:bottom w:val="single" w:sz="12" w:space="1" w:color="auto"/>
        </w:pBdr>
        <w:rPr>
          <w:b/>
          <w:iCs/>
          <w:sz w:val="22"/>
        </w:rPr>
      </w:pPr>
    </w:p>
    <w:p w:rsidR="00962E92" w:rsidRPr="00846A7C" w:rsidRDefault="00962E92" w:rsidP="00DE4468">
      <w:pPr>
        <w:pStyle w:val="NoSpacing"/>
        <w:pBdr>
          <w:bottom w:val="single" w:sz="12" w:space="1" w:color="auto"/>
        </w:pBdr>
        <w:shd w:val="clear" w:color="auto" w:fill="FFFFFF"/>
        <w:spacing w:line="276" w:lineRule="auto"/>
        <w:jc w:val="center"/>
        <w:rPr>
          <w:rFonts w:asciiTheme="minorHAnsi" w:hAnsiTheme="minorHAnsi" w:cstheme="minorHAnsi"/>
          <w:b/>
        </w:rPr>
      </w:pPr>
      <w:r w:rsidRPr="00846A7C">
        <w:rPr>
          <w:rFonts w:asciiTheme="minorHAnsi" w:hAnsiTheme="minorHAnsi" w:cstheme="minorHAnsi"/>
          <w:b/>
        </w:rPr>
        <w:t>NA</w:t>
      </w:r>
      <w:r w:rsidR="00D808CE">
        <w:rPr>
          <w:rFonts w:asciiTheme="minorHAnsi" w:hAnsiTheme="minorHAnsi" w:cstheme="minorHAnsi"/>
          <w:b/>
        </w:rPr>
        <w:t>ZIV KORISNIKA: UPRAVNI ODJEL ZA FINANCIJE</w:t>
      </w:r>
    </w:p>
    <w:p w:rsidR="00BD5B5D" w:rsidRPr="00846A7C" w:rsidRDefault="00BD5B5D" w:rsidP="000403CB">
      <w:pPr>
        <w:pStyle w:val="NoSpacing"/>
        <w:shd w:val="clear" w:color="auto" w:fill="FFFFFF"/>
        <w:spacing w:line="276" w:lineRule="auto"/>
        <w:jc w:val="both"/>
        <w:rPr>
          <w:rFonts w:asciiTheme="minorHAnsi" w:hAnsiTheme="minorHAnsi" w:cstheme="minorHAnsi"/>
          <w:b/>
        </w:rPr>
      </w:pPr>
    </w:p>
    <w:p w:rsidR="00D808CE" w:rsidRDefault="00962E92" w:rsidP="000403CB">
      <w:pPr>
        <w:pStyle w:val="NoSpacing"/>
        <w:shd w:val="clear" w:color="auto" w:fill="FFFFFF"/>
        <w:spacing w:line="276" w:lineRule="auto"/>
        <w:jc w:val="both"/>
        <w:rPr>
          <w:rFonts w:asciiTheme="minorHAnsi" w:hAnsiTheme="minorHAnsi" w:cstheme="minorHAnsi"/>
          <w:b/>
        </w:rPr>
      </w:pPr>
      <w:r w:rsidRPr="00D808CE">
        <w:rPr>
          <w:rFonts w:asciiTheme="minorHAnsi" w:hAnsiTheme="minorHAnsi" w:cstheme="minorHAnsi"/>
          <w:b/>
        </w:rPr>
        <w:t>SAŽETAK DJELOKRUGA RADA:</w:t>
      </w:r>
    </w:p>
    <w:p w:rsidR="00D808CE" w:rsidRPr="00D808CE" w:rsidRDefault="00D808CE" w:rsidP="000403CB">
      <w:pPr>
        <w:pStyle w:val="NoSpacing"/>
        <w:shd w:val="clear" w:color="auto" w:fill="FFFFFF"/>
        <w:spacing w:line="276" w:lineRule="auto"/>
        <w:jc w:val="both"/>
        <w:rPr>
          <w:rFonts w:asciiTheme="minorHAnsi" w:hAnsiTheme="minorHAnsi" w:cstheme="minorHAnsi"/>
          <w:b/>
        </w:rPr>
      </w:pPr>
      <w:r w:rsidRPr="00D808CE">
        <w:rPr>
          <w:rFonts w:asciiTheme="minorHAnsi" w:hAnsiTheme="minorHAnsi" w:cstheme="minorHAnsi"/>
          <w:color w:val="000000" w:themeColor="text1"/>
        </w:rPr>
        <w:t xml:space="preserve">Odlukom o ustrojstvu i djelokrugu rada upravnih tijela Dubrovačko-neretvanske županije određeni su poslovi Upravnog odjela </w:t>
      </w:r>
      <w:r w:rsidR="005D0378">
        <w:rPr>
          <w:rFonts w:asciiTheme="minorHAnsi" w:hAnsiTheme="minorHAnsi" w:cstheme="minorHAnsi"/>
          <w:color w:val="000000" w:themeColor="text1"/>
        </w:rPr>
        <w:t>za financije, a odnose se na sl</w:t>
      </w:r>
      <w:r w:rsidRPr="00D808CE">
        <w:rPr>
          <w:rFonts w:asciiTheme="minorHAnsi" w:hAnsiTheme="minorHAnsi" w:cstheme="minorHAnsi"/>
          <w:color w:val="000000" w:themeColor="text1"/>
        </w:rPr>
        <w:t>jedeće:</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davanje savjeta iz podr</w:t>
      </w:r>
      <w:r w:rsidR="005D0378">
        <w:rPr>
          <w:rFonts w:asciiTheme="minorHAnsi" w:hAnsiTheme="minorHAnsi" w:cstheme="minorHAnsi"/>
          <w:color w:val="000000" w:themeColor="text1"/>
        </w:rPr>
        <w:t>u</w:t>
      </w:r>
      <w:r w:rsidRPr="00D808CE">
        <w:rPr>
          <w:rFonts w:asciiTheme="minorHAnsi" w:hAnsiTheme="minorHAnsi" w:cstheme="minorHAnsi"/>
          <w:color w:val="000000" w:themeColor="text1"/>
        </w:rPr>
        <w:t>čja financija za potrebe Župana,</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planiranje, pripremu i izradu nacrta prijedloga  Proračuna Županije, njegovih izmjena i</w:t>
      </w:r>
      <w:bookmarkStart w:id="0" w:name="_GoBack"/>
      <w:bookmarkEnd w:id="0"/>
      <w:r w:rsidRPr="00D808CE">
        <w:rPr>
          <w:rFonts w:asciiTheme="minorHAnsi" w:hAnsiTheme="minorHAnsi" w:cstheme="minorHAnsi"/>
          <w:color w:val="000000" w:themeColor="text1"/>
        </w:rPr>
        <w:t xml:space="preserve"> dopuna tijekom proračunske godine, te pratećih akata,</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izrađuje polugodišnje i godišnje izvještaje o izvršenju proračuna, te prateće akte i financijska izvješća u skladu s rokovima i na propisanim obrascima prema Pravilniku o financijskom izvještavanju u proračunskom računovodstvu i druga propisana izvješća za potrebe Župana, Županijske skupštine i upravnih tijela,</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praćenje zaduženosti i izvješćivanja o stanju duga,</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utvrđivanje proračunskih ograničenja potrošnje utvrđenih na procjeni prihoda i primitaka te predlaganje mjera za uravnoteženje Proračuna,</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stručne poslove vezane za projekte Europske unije iz djelokruga rada odjela,</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financijsko poslovanje i knjigovodstveno-računovodstvene poslove koji podrazum</w:t>
      </w:r>
      <w:r w:rsidR="005D0378">
        <w:rPr>
          <w:rFonts w:asciiTheme="minorHAnsi" w:hAnsiTheme="minorHAnsi" w:cstheme="minorHAnsi"/>
          <w:color w:val="000000" w:themeColor="text1"/>
        </w:rPr>
        <w:t>i</w:t>
      </w:r>
      <w:r w:rsidRPr="00D808CE">
        <w:rPr>
          <w:rFonts w:asciiTheme="minorHAnsi" w:hAnsiTheme="minorHAnsi" w:cstheme="minorHAnsi"/>
          <w:color w:val="000000" w:themeColor="text1"/>
        </w:rPr>
        <w:t>jevaju provođenje naloga odgovornih izvršitelja, obrada primljenih naloga za prijenos sredstava u skladu s planiranim sredstvima u proračunu, odlukom o izvršavanju proračuna i internim aktima, kontrola izvršenja u skladu sa</w:t>
      </w:r>
      <w:r w:rsidR="005D0378">
        <w:rPr>
          <w:rFonts w:asciiTheme="minorHAnsi" w:hAnsiTheme="minorHAnsi" w:cstheme="minorHAnsi"/>
          <w:color w:val="000000" w:themeColor="text1"/>
        </w:rPr>
        <w:t xml:space="preserve"> zakonskim propisima, te se p</w:t>
      </w:r>
      <w:r w:rsidRPr="00D808CE">
        <w:rPr>
          <w:rFonts w:asciiTheme="minorHAnsi" w:hAnsiTheme="minorHAnsi" w:cstheme="minorHAnsi"/>
          <w:color w:val="000000" w:themeColor="text1"/>
        </w:rPr>
        <w:t xml:space="preserve">rikuplja i obrađuje dokumentacijska podloga, obrađuju knjigovodstveni podaci proračuna i proračunskih korisnika, vrši se obračun plaća zaposlenih kao i obračun svih vrsta </w:t>
      </w:r>
      <w:r w:rsidR="005D0378">
        <w:rPr>
          <w:rFonts w:asciiTheme="minorHAnsi" w:hAnsiTheme="minorHAnsi" w:cstheme="minorHAnsi"/>
          <w:color w:val="000000" w:themeColor="text1"/>
        </w:rPr>
        <w:t>dohot</w:t>
      </w:r>
      <w:r w:rsidRPr="00D808CE">
        <w:rPr>
          <w:rFonts w:asciiTheme="minorHAnsi" w:hAnsiTheme="minorHAnsi" w:cstheme="minorHAnsi"/>
          <w:color w:val="000000" w:themeColor="text1"/>
        </w:rPr>
        <w:t>ka i druge poslove vezane za zaposlene,</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predlaganje mjera za unapređenje financijskog poslovanja Županije i uvođenje i koordinaciju sustava unutarnjih financijskih kontrola i načela dobrog  financijskog upravljanja u upravnim tijelima,</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koordinacij</w:t>
      </w:r>
      <w:r w:rsidR="005D0378">
        <w:rPr>
          <w:rFonts w:asciiTheme="minorHAnsi" w:hAnsiTheme="minorHAnsi" w:cstheme="minorHAnsi"/>
          <w:color w:val="000000" w:themeColor="text1"/>
        </w:rPr>
        <w:t xml:space="preserve">u aktivnosti s </w:t>
      </w:r>
      <w:r w:rsidRPr="00D808CE">
        <w:rPr>
          <w:rFonts w:asciiTheme="minorHAnsi" w:hAnsiTheme="minorHAnsi" w:cstheme="minorHAnsi"/>
          <w:color w:val="000000" w:themeColor="text1"/>
        </w:rPr>
        <w:t>upravnim t</w:t>
      </w:r>
      <w:r w:rsidR="005D0378">
        <w:rPr>
          <w:rFonts w:asciiTheme="minorHAnsi" w:hAnsiTheme="minorHAnsi" w:cstheme="minorHAnsi"/>
          <w:color w:val="000000" w:themeColor="text1"/>
        </w:rPr>
        <w:t>i</w:t>
      </w:r>
      <w:r w:rsidRPr="00D808CE">
        <w:rPr>
          <w:rFonts w:asciiTheme="minorHAnsi" w:hAnsiTheme="minorHAnsi" w:cstheme="minorHAnsi"/>
          <w:color w:val="000000" w:themeColor="text1"/>
        </w:rPr>
        <w:t>jelima oko pripreme i davanja izjave o fiskalnoj odgovornosti Župana te pripadajuće dokumentacije prema zakonskim propisima i podzakonskim aktima,</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temeljem Zakona o lokalnim porezima izdaje prvostupanjska rješenja obveznicima poreza na cestovna motorna vozila, te provodi odgovarajuću kontrolu i evidenciju,</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sudjelovanje u izradi strateških i ostalih dokumenata Županije,</w:t>
      </w:r>
    </w:p>
    <w:p w:rsidR="00D808CE" w:rsidRPr="00D808CE" w:rsidRDefault="00D808CE" w:rsidP="000403CB">
      <w:pPr>
        <w:pStyle w:val="NoSpacing"/>
        <w:spacing w:line="276" w:lineRule="auto"/>
        <w:jc w:val="both"/>
        <w:rPr>
          <w:rFonts w:asciiTheme="minorHAnsi" w:hAnsiTheme="minorHAnsi" w:cstheme="minorHAnsi"/>
          <w:color w:val="000000" w:themeColor="text1"/>
        </w:rPr>
      </w:pPr>
      <w:r w:rsidRPr="00D808CE">
        <w:rPr>
          <w:rFonts w:asciiTheme="minorHAnsi" w:hAnsiTheme="minorHAnsi" w:cstheme="minorHAnsi"/>
          <w:color w:val="000000" w:themeColor="text1"/>
        </w:rPr>
        <w:t>- druge poslove utvrđene posebnim zakonom, drugim propisima, aktima Županijske skupštine i Župana.</w:t>
      </w:r>
    </w:p>
    <w:p w:rsidR="00962E92" w:rsidRPr="00846A7C" w:rsidRDefault="00962E92" w:rsidP="000403CB">
      <w:pPr>
        <w:pStyle w:val="NoSpacing"/>
        <w:shd w:val="clear" w:color="auto" w:fill="FFFFFF"/>
        <w:spacing w:line="276" w:lineRule="auto"/>
        <w:jc w:val="both"/>
        <w:rPr>
          <w:rFonts w:asciiTheme="minorHAnsi" w:hAnsiTheme="minorHAnsi" w:cstheme="minorHAnsi"/>
          <w:b/>
        </w:rPr>
      </w:pPr>
    </w:p>
    <w:p w:rsidR="00962E92" w:rsidRDefault="00962E92" w:rsidP="000403CB">
      <w:pPr>
        <w:pStyle w:val="NoSpacing"/>
        <w:shd w:val="clear" w:color="auto" w:fill="FFFFFF"/>
        <w:spacing w:line="276" w:lineRule="auto"/>
        <w:jc w:val="both"/>
        <w:rPr>
          <w:rFonts w:asciiTheme="minorHAnsi" w:hAnsiTheme="minorHAnsi" w:cstheme="minorHAnsi"/>
          <w:b/>
        </w:rPr>
      </w:pPr>
      <w:r w:rsidRPr="00846A7C">
        <w:rPr>
          <w:rFonts w:asciiTheme="minorHAnsi" w:hAnsiTheme="minorHAnsi" w:cstheme="minorHAnsi"/>
          <w:b/>
        </w:rPr>
        <w:t>PRORAČUNSKI KORISNICI IZ DJELOKRUGA RADA:</w:t>
      </w:r>
    </w:p>
    <w:p w:rsidR="00D808CE" w:rsidRPr="00D808CE" w:rsidRDefault="00D808CE" w:rsidP="000403CB">
      <w:pPr>
        <w:pStyle w:val="NoSpacing"/>
        <w:shd w:val="clear" w:color="auto" w:fill="FFFFFF"/>
        <w:spacing w:line="276" w:lineRule="auto"/>
        <w:jc w:val="both"/>
        <w:rPr>
          <w:rFonts w:asciiTheme="minorHAnsi" w:hAnsiTheme="minorHAnsi" w:cstheme="minorHAnsi"/>
          <w:b/>
        </w:rPr>
      </w:pPr>
    </w:p>
    <w:p w:rsidR="00D808CE" w:rsidRPr="00D808CE" w:rsidRDefault="00D808CE" w:rsidP="000403CB">
      <w:pPr>
        <w:pStyle w:val="NoSpacing"/>
        <w:spacing w:line="276" w:lineRule="auto"/>
        <w:jc w:val="both"/>
        <w:rPr>
          <w:rFonts w:cs="Calibri"/>
          <w:color w:val="000000" w:themeColor="text1"/>
        </w:rPr>
      </w:pPr>
      <w:r w:rsidRPr="00D808CE">
        <w:rPr>
          <w:rFonts w:cs="Calibri"/>
          <w:color w:val="000000" w:themeColor="text1"/>
        </w:rPr>
        <w:t>Upravni odjel za financije u svojoj nadležnosti nema proračunskih   korisnika.</w:t>
      </w:r>
    </w:p>
    <w:p w:rsidR="00962E92" w:rsidRPr="00846A7C" w:rsidRDefault="00962E92" w:rsidP="000403CB">
      <w:pPr>
        <w:pStyle w:val="NoSpacing"/>
        <w:shd w:val="clear" w:color="auto" w:fill="FFFFFF"/>
        <w:spacing w:line="276" w:lineRule="auto"/>
        <w:jc w:val="both"/>
        <w:rPr>
          <w:rFonts w:asciiTheme="minorHAnsi" w:hAnsiTheme="minorHAnsi" w:cstheme="minorHAnsi"/>
          <w:b/>
        </w:rPr>
      </w:pPr>
    </w:p>
    <w:p w:rsidR="00962E92" w:rsidRDefault="00962E92" w:rsidP="000403CB">
      <w:pPr>
        <w:pStyle w:val="NoSpacing"/>
        <w:shd w:val="clear" w:color="auto" w:fill="FFFFFF"/>
        <w:spacing w:line="276" w:lineRule="auto"/>
        <w:jc w:val="both"/>
        <w:rPr>
          <w:rFonts w:asciiTheme="minorHAnsi" w:hAnsiTheme="minorHAnsi" w:cstheme="minorHAnsi"/>
          <w:b/>
        </w:rPr>
      </w:pPr>
      <w:r w:rsidRPr="00846A7C">
        <w:rPr>
          <w:rFonts w:asciiTheme="minorHAnsi" w:hAnsiTheme="minorHAnsi" w:cstheme="minorHAnsi"/>
          <w:b/>
        </w:rPr>
        <w:t>ORGANIZACIJSKA STRUKTURA</w:t>
      </w:r>
      <w:r w:rsidR="00BD5B5D" w:rsidRPr="00846A7C">
        <w:rPr>
          <w:rFonts w:asciiTheme="minorHAnsi" w:hAnsiTheme="minorHAnsi" w:cstheme="minorHAnsi"/>
          <w:b/>
        </w:rPr>
        <w:t>:</w:t>
      </w:r>
    </w:p>
    <w:p w:rsidR="00D808CE" w:rsidRDefault="00D808CE" w:rsidP="000403CB">
      <w:pPr>
        <w:pStyle w:val="NoSpacing"/>
        <w:shd w:val="clear" w:color="auto" w:fill="FFFFFF"/>
        <w:spacing w:line="276" w:lineRule="auto"/>
        <w:jc w:val="both"/>
        <w:rPr>
          <w:rFonts w:asciiTheme="minorHAnsi" w:hAnsiTheme="minorHAnsi" w:cstheme="minorHAnsi"/>
          <w:b/>
        </w:rPr>
      </w:pPr>
    </w:p>
    <w:p w:rsidR="00D808CE" w:rsidRPr="00D808CE" w:rsidRDefault="00D808CE" w:rsidP="000403CB">
      <w:pPr>
        <w:pStyle w:val="NoSpacing"/>
        <w:spacing w:line="276" w:lineRule="auto"/>
        <w:jc w:val="both"/>
        <w:rPr>
          <w:rFonts w:cs="Calibri"/>
          <w:color w:val="000000" w:themeColor="text1"/>
        </w:rPr>
      </w:pPr>
      <w:r w:rsidRPr="00D808CE">
        <w:rPr>
          <w:rFonts w:cs="Calibri"/>
          <w:color w:val="000000" w:themeColor="text1"/>
        </w:rPr>
        <w:t>Organizacijska struktura određena je Pravilnikom o unutarnjem redu Upravnog odjela za financije Dubrovačko-neretvanske županije.</w:t>
      </w:r>
    </w:p>
    <w:p w:rsidR="00CB37DA" w:rsidRDefault="00CB37DA" w:rsidP="000403CB">
      <w:pPr>
        <w:pStyle w:val="NoSpacing"/>
        <w:shd w:val="clear" w:color="auto" w:fill="FFFFFF"/>
        <w:spacing w:line="276" w:lineRule="auto"/>
        <w:jc w:val="both"/>
        <w:rPr>
          <w:rFonts w:asciiTheme="minorHAnsi" w:hAnsiTheme="minorHAnsi" w:cstheme="minorHAnsi"/>
          <w:b/>
        </w:rPr>
      </w:pPr>
    </w:p>
    <w:p w:rsidR="000403CB" w:rsidRDefault="000403CB" w:rsidP="000403CB">
      <w:pPr>
        <w:pStyle w:val="NoSpacing"/>
        <w:shd w:val="clear" w:color="auto" w:fill="FFFFFF"/>
        <w:spacing w:line="276" w:lineRule="auto"/>
        <w:jc w:val="both"/>
        <w:rPr>
          <w:rFonts w:asciiTheme="minorHAnsi" w:hAnsiTheme="minorHAnsi" w:cstheme="minorHAnsi"/>
          <w:b/>
        </w:rPr>
      </w:pPr>
    </w:p>
    <w:p w:rsidR="000403CB" w:rsidRDefault="000403CB" w:rsidP="000403CB">
      <w:pPr>
        <w:pStyle w:val="NoSpacing"/>
        <w:shd w:val="clear" w:color="auto" w:fill="FFFFFF"/>
        <w:spacing w:line="276" w:lineRule="auto"/>
        <w:jc w:val="both"/>
        <w:rPr>
          <w:rFonts w:asciiTheme="minorHAnsi" w:hAnsiTheme="minorHAnsi" w:cstheme="minorHAnsi"/>
          <w:b/>
        </w:rPr>
      </w:pPr>
    </w:p>
    <w:p w:rsidR="000403CB" w:rsidRDefault="000403CB" w:rsidP="000403CB">
      <w:pPr>
        <w:pStyle w:val="NoSpacing"/>
        <w:shd w:val="clear" w:color="auto" w:fill="FFFFFF"/>
        <w:spacing w:line="276" w:lineRule="auto"/>
        <w:jc w:val="both"/>
        <w:rPr>
          <w:rFonts w:asciiTheme="minorHAnsi" w:hAnsiTheme="minorHAnsi" w:cstheme="minorHAnsi"/>
          <w:b/>
        </w:rPr>
      </w:pPr>
    </w:p>
    <w:p w:rsidR="000403CB" w:rsidRPr="00846A7C" w:rsidRDefault="000403CB" w:rsidP="000403CB">
      <w:pPr>
        <w:pStyle w:val="NoSpacing"/>
        <w:shd w:val="clear" w:color="auto" w:fill="FFFFFF"/>
        <w:spacing w:line="276" w:lineRule="auto"/>
        <w:jc w:val="both"/>
        <w:rPr>
          <w:rFonts w:asciiTheme="minorHAnsi" w:hAnsiTheme="minorHAnsi" w:cstheme="minorHAnsi"/>
          <w:b/>
        </w:rPr>
      </w:pPr>
    </w:p>
    <w:p w:rsidR="00962E92" w:rsidRPr="00846A7C" w:rsidRDefault="00962E92" w:rsidP="000403CB">
      <w:pPr>
        <w:pStyle w:val="NoSpacing"/>
        <w:shd w:val="clear" w:color="auto" w:fill="FFFFFF"/>
        <w:spacing w:line="276" w:lineRule="auto"/>
        <w:jc w:val="both"/>
        <w:rPr>
          <w:rFonts w:asciiTheme="minorHAnsi" w:hAnsiTheme="minorHAnsi" w:cstheme="minorHAnsi"/>
          <w:b/>
        </w:rPr>
      </w:pPr>
      <w:r w:rsidRPr="00846A7C">
        <w:rPr>
          <w:rFonts w:asciiTheme="minorHAnsi" w:hAnsiTheme="minorHAnsi" w:cstheme="minorHAnsi"/>
          <w:b/>
        </w:rPr>
        <w:t>FINANCIJSKI PLAN ZA 20</w:t>
      </w:r>
      <w:r w:rsidR="004E3D9D" w:rsidRPr="00846A7C">
        <w:rPr>
          <w:rFonts w:asciiTheme="minorHAnsi" w:hAnsiTheme="minorHAnsi" w:cstheme="minorHAnsi"/>
          <w:b/>
        </w:rPr>
        <w:t>2</w:t>
      </w:r>
      <w:r w:rsidR="00AF669B" w:rsidRPr="00846A7C">
        <w:rPr>
          <w:rFonts w:asciiTheme="minorHAnsi" w:hAnsiTheme="minorHAnsi" w:cstheme="minorHAnsi"/>
          <w:b/>
        </w:rPr>
        <w:t>3</w:t>
      </w:r>
      <w:r w:rsidR="004E3D9D" w:rsidRPr="00846A7C">
        <w:rPr>
          <w:rFonts w:asciiTheme="minorHAnsi" w:hAnsiTheme="minorHAnsi" w:cstheme="minorHAnsi"/>
          <w:b/>
        </w:rPr>
        <w:t>. – 202</w:t>
      </w:r>
      <w:r w:rsidR="00AF669B" w:rsidRPr="00846A7C">
        <w:rPr>
          <w:rFonts w:asciiTheme="minorHAnsi" w:hAnsiTheme="minorHAnsi" w:cstheme="minorHAnsi"/>
          <w:b/>
        </w:rPr>
        <w:t>5</w:t>
      </w:r>
      <w:r w:rsidRPr="00846A7C">
        <w:rPr>
          <w:rFonts w:asciiTheme="minorHAnsi" w:hAnsiTheme="minorHAnsi" w:cstheme="minorHAnsi"/>
          <w:b/>
        </w:rPr>
        <w:t>. GODINU</w:t>
      </w:r>
      <w:r w:rsidR="00BD5B5D" w:rsidRPr="00846A7C">
        <w:rPr>
          <w:rFonts w:asciiTheme="minorHAnsi" w:hAnsiTheme="minorHAnsi" w:cstheme="minorHAnsi"/>
          <w:b/>
        </w:rPr>
        <w:t>:</w:t>
      </w:r>
    </w:p>
    <w:p w:rsidR="00CB37DA" w:rsidRPr="00846A7C" w:rsidRDefault="00CB37DA" w:rsidP="000403CB">
      <w:pPr>
        <w:pStyle w:val="NoSpacing"/>
        <w:shd w:val="clear" w:color="auto" w:fill="FFFFFF"/>
        <w:spacing w:line="276" w:lineRule="auto"/>
        <w:jc w:val="both"/>
        <w:rPr>
          <w:rFonts w:asciiTheme="minorHAnsi" w:hAnsiTheme="minorHAnsi" w:cstheme="minorHAnsi"/>
          <w:b/>
        </w:rPr>
      </w:pPr>
    </w:p>
    <w:tbl>
      <w:tblPr>
        <w:tblStyle w:val="TableGrid"/>
        <w:tblW w:w="0" w:type="auto"/>
        <w:tblLook w:val="04A0"/>
      </w:tblPr>
      <w:tblGrid>
        <w:gridCol w:w="615"/>
        <w:gridCol w:w="3885"/>
        <w:gridCol w:w="1498"/>
        <w:gridCol w:w="1498"/>
        <w:gridCol w:w="1566"/>
      </w:tblGrid>
      <w:tr w:rsidR="00962E92" w:rsidRPr="00846A7C" w:rsidTr="00E6721E">
        <w:tc>
          <w:tcPr>
            <w:tcW w:w="615" w:type="dxa"/>
            <w:shd w:val="clear" w:color="auto" w:fill="F2F2F2" w:themeFill="background1" w:themeFillShade="F2"/>
          </w:tcPr>
          <w:p w:rsidR="00962E92" w:rsidRPr="00846A7C" w:rsidRDefault="00962E92"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Rb</w:t>
            </w:r>
          </w:p>
        </w:tc>
        <w:tc>
          <w:tcPr>
            <w:tcW w:w="3885" w:type="dxa"/>
            <w:shd w:val="clear" w:color="auto" w:fill="F2F2F2" w:themeFill="background1" w:themeFillShade="F2"/>
          </w:tcPr>
          <w:p w:rsidR="00962E92" w:rsidRPr="00846A7C" w:rsidRDefault="00962E92"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Naziv programa</w:t>
            </w:r>
          </w:p>
        </w:tc>
        <w:tc>
          <w:tcPr>
            <w:tcW w:w="1498" w:type="dxa"/>
            <w:shd w:val="clear" w:color="auto" w:fill="F2F2F2" w:themeFill="background1" w:themeFillShade="F2"/>
          </w:tcPr>
          <w:p w:rsidR="00962E92" w:rsidRPr="00846A7C" w:rsidRDefault="004E3D9D" w:rsidP="00740C12">
            <w:pPr>
              <w:pStyle w:val="NoSpacing"/>
              <w:spacing w:line="276" w:lineRule="auto"/>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3</w:t>
            </w:r>
          </w:p>
        </w:tc>
        <w:tc>
          <w:tcPr>
            <w:tcW w:w="1498" w:type="dxa"/>
            <w:shd w:val="clear" w:color="auto" w:fill="F2F2F2" w:themeFill="background1" w:themeFillShade="F2"/>
          </w:tcPr>
          <w:p w:rsidR="00962E92" w:rsidRPr="00846A7C" w:rsidRDefault="004E3D9D" w:rsidP="00740C12">
            <w:pPr>
              <w:pStyle w:val="NoSpacing"/>
              <w:spacing w:line="276" w:lineRule="auto"/>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4</w:t>
            </w:r>
          </w:p>
        </w:tc>
        <w:tc>
          <w:tcPr>
            <w:tcW w:w="1566" w:type="dxa"/>
            <w:shd w:val="clear" w:color="auto" w:fill="F2F2F2" w:themeFill="background1" w:themeFillShade="F2"/>
          </w:tcPr>
          <w:p w:rsidR="00962E92" w:rsidRPr="00846A7C" w:rsidRDefault="004E3D9D" w:rsidP="00740C12">
            <w:pPr>
              <w:pStyle w:val="NoSpacing"/>
              <w:spacing w:line="276" w:lineRule="auto"/>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5</w:t>
            </w:r>
          </w:p>
        </w:tc>
      </w:tr>
      <w:tr w:rsidR="00A52DD0" w:rsidRPr="00846A7C" w:rsidTr="00E6721E">
        <w:tc>
          <w:tcPr>
            <w:tcW w:w="615" w:type="dxa"/>
          </w:tcPr>
          <w:p w:rsidR="00A52DD0" w:rsidRPr="00846A7C" w:rsidRDefault="00A52DD0"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1.</w:t>
            </w:r>
          </w:p>
        </w:tc>
        <w:tc>
          <w:tcPr>
            <w:tcW w:w="3885" w:type="dxa"/>
          </w:tcPr>
          <w:p w:rsidR="00A52DD0" w:rsidRPr="00846A7C" w:rsidRDefault="00791176" w:rsidP="000403CB">
            <w:pPr>
              <w:pStyle w:val="NoSpacing"/>
              <w:spacing w:line="276" w:lineRule="auto"/>
              <w:jc w:val="both"/>
              <w:rPr>
                <w:rFonts w:asciiTheme="minorHAnsi" w:hAnsiTheme="minorHAnsi" w:cstheme="minorHAnsi"/>
                <w:b/>
              </w:rPr>
            </w:pPr>
            <w:r>
              <w:rPr>
                <w:rFonts w:asciiTheme="minorHAnsi" w:hAnsiTheme="minorHAnsi" w:cstheme="minorHAnsi"/>
                <w:b/>
              </w:rPr>
              <w:t>Zajednički stručni i administrativni poslovi</w:t>
            </w:r>
          </w:p>
        </w:tc>
        <w:tc>
          <w:tcPr>
            <w:tcW w:w="1498" w:type="dxa"/>
            <w:vAlign w:val="bottom"/>
          </w:tcPr>
          <w:p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6.622.831,00</w:t>
            </w:r>
          </w:p>
        </w:tc>
        <w:tc>
          <w:tcPr>
            <w:tcW w:w="1498" w:type="dxa"/>
            <w:vAlign w:val="bottom"/>
          </w:tcPr>
          <w:p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6.108.843,00</w:t>
            </w:r>
          </w:p>
        </w:tc>
        <w:tc>
          <w:tcPr>
            <w:tcW w:w="1566" w:type="dxa"/>
            <w:vAlign w:val="bottom"/>
          </w:tcPr>
          <w:p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5.372.722,00</w:t>
            </w:r>
          </w:p>
        </w:tc>
      </w:tr>
      <w:tr w:rsidR="00A52DD0" w:rsidRPr="00846A7C" w:rsidTr="00E6721E">
        <w:tc>
          <w:tcPr>
            <w:tcW w:w="615" w:type="dxa"/>
          </w:tcPr>
          <w:p w:rsidR="00A52DD0" w:rsidRPr="00846A7C" w:rsidRDefault="00A52DD0"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2.</w:t>
            </w:r>
          </w:p>
        </w:tc>
        <w:tc>
          <w:tcPr>
            <w:tcW w:w="3885" w:type="dxa"/>
          </w:tcPr>
          <w:p w:rsidR="00A52DD0" w:rsidRPr="00846A7C" w:rsidRDefault="008E3DA3" w:rsidP="000403CB">
            <w:pPr>
              <w:pStyle w:val="NoSpacing"/>
              <w:spacing w:line="276" w:lineRule="auto"/>
              <w:jc w:val="both"/>
              <w:rPr>
                <w:rFonts w:asciiTheme="minorHAnsi" w:hAnsiTheme="minorHAnsi" w:cstheme="minorHAnsi"/>
                <w:b/>
              </w:rPr>
            </w:pPr>
            <w:r>
              <w:rPr>
                <w:rFonts w:asciiTheme="minorHAnsi" w:hAnsiTheme="minorHAnsi" w:cstheme="minorHAnsi"/>
                <w:b/>
              </w:rPr>
              <w:t>Proračunska zaliha</w:t>
            </w:r>
          </w:p>
        </w:tc>
        <w:tc>
          <w:tcPr>
            <w:tcW w:w="1498" w:type="dxa"/>
            <w:vAlign w:val="bottom"/>
          </w:tcPr>
          <w:p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72.600,00</w:t>
            </w:r>
          </w:p>
        </w:tc>
        <w:tc>
          <w:tcPr>
            <w:tcW w:w="1498" w:type="dxa"/>
            <w:vAlign w:val="bottom"/>
          </w:tcPr>
          <w:p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26.600,00</w:t>
            </w:r>
          </w:p>
        </w:tc>
        <w:tc>
          <w:tcPr>
            <w:tcW w:w="1566" w:type="dxa"/>
            <w:vAlign w:val="bottom"/>
          </w:tcPr>
          <w:p w:rsidR="00A52DD0" w:rsidRPr="00846A7C" w:rsidRDefault="008E3DA3" w:rsidP="00740C12">
            <w:pPr>
              <w:pStyle w:val="NoSpacing"/>
              <w:spacing w:line="276" w:lineRule="auto"/>
              <w:jc w:val="right"/>
              <w:rPr>
                <w:rFonts w:asciiTheme="minorHAnsi" w:hAnsiTheme="minorHAnsi" w:cstheme="minorHAnsi"/>
                <w:b/>
              </w:rPr>
            </w:pPr>
            <w:r>
              <w:rPr>
                <w:rFonts w:asciiTheme="minorHAnsi" w:hAnsiTheme="minorHAnsi" w:cstheme="minorHAnsi"/>
                <w:b/>
              </w:rPr>
              <w:t>26.600,00</w:t>
            </w:r>
          </w:p>
        </w:tc>
      </w:tr>
      <w:tr w:rsidR="00E6721E" w:rsidRPr="00846A7C" w:rsidTr="00E6721E">
        <w:tc>
          <w:tcPr>
            <w:tcW w:w="615" w:type="dxa"/>
          </w:tcPr>
          <w:p w:rsidR="00E6721E" w:rsidRPr="00846A7C" w:rsidRDefault="00E6721E" w:rsidP="000403CB">
            <w:pPr>
              <w:pStyle w:val="NoSpacing"/>
              <w:spacing w:line="276" w:lineRule="auto"/>
              <w:jc w:val="both"/>
              <w:rPr>
                <w:rFonts w:asciiTheme="minorHAnsi" w:hAnsiTheme="minorHAnsi" w:cstheme="minorHAnsi"/>
                <w:b/>
              </w:rPr>
            </w:pPr>
          </w:p>
        </w:tc>
        <w:tc>
          <w:tcPr>
            <w:tcW w:w="3885" w:type="dxa"/>
          </w:tcPr>
          <w:p w:rsidR="00E6721E" w:rsidRPr="00846A7C" w:rsidRDefault="00E6721E"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UKUPNO GLAVA 1:</w:t>
            </w:r>
          </w:p>
        </w:tc>
        <w:tc>
          <w:tcPr>
            <w:tcW w:w="1498" w:type="dxa"/>
            <w:vAlign w:val="bottom"/>
          </w:tcPr>
          <w:p w:rsidR="00E6721E" w:rsidRPr="00846A7C" w:rsidRDefault="00E6721E" w:rsidP="00740C12">
            <w:pPr>
              <w:pStyle w:val="NoSpacing"/>
              <w:spacing w:line="276" w:lineRule="auto"/>
              <w:jc w:val="right"/>
              <w:rPr>
                <w:rFonts w:asciiTheme="minorHAnsi" w:hAnsiTheme="minorHAnsi" w:cstheme="minorHAnsi"/>
                <w:b/>
              </w:rPr>
            </w:pPr>
            <w:r>
              <w:rPr>
                <w:rFonts w:asciiTheme="minorHAnsi" w:hAnsiTheme="minorHAnsi" w:cstheme="minorHAnsi"/>
                <w:b/>
              </w:rPr>
              <w:t>6.695.431,00</w:t>
            </w:r>
          </w:p>
        </w:tc>
        <w:tc>
          <w:tcPr>
            <w:tcW w:w="1498" w:type="dxa"/>
            <w:vAlign w:val="bottom"/>
          </w:tcPr>
          <w:p w:rsidR="00E6721E" w:rsidRPr="00846A7C" w:rsidRDefault="00E6721E" w:rsidP="00740C12">
            <w:pPr>
              <w:pStyle w:val="NoSpacing"/>
              <w:spacing w:line="276" w:lineRule="auto"/>
              <w:jc w:val="right"/>
              <w:rPr>
                <w:rFonts w:asciiTheme="minorHAnsi" w:hAnsiTheme="minorHAnsi" w:cstheme="minorHAnsi"/>
                <w:b/>
              </w:rPr>
            </w:pPr>
            <w:r>
              <w:rPr>
                <w:rFonts w:asciiTheme="minorHAnsi" w:hAnsiTheme="minorHAnsi" w:cstheme="minorHAnsi"/>
                <w:b/>
              </w:rPr>
              <w:t>6.135.443,00</w:t>
            </w:r>
          </w:p>
        </w:tc>
        <w:tc>
          <w:tcPr>
            <w:tcW w:w="1566" w:type="dxa"/>
          </w:tcPr>
          <w:p w:rsidR="00E6721E" w:rsidRPr="00846A7C" w:rsidRDefault="00E6721E" w:rsidP="00740C12">
            <w:pPr>
              <w:pStyle w:val="NoSpacing"/>
              <w:spacing w:line="276" w:lineRule="auto"/>
              <w:jc w:val="right"/>
              <w:rPr>
                <w:rFonts w:asciiTheme="minorHAnsi" w:hAnsiTheme="minorHAnsi" w:cstheme="minorHAnsi"/>
                <w:b/>
              </w:rPr>
            </w:pPr>
            <w:r>
              <w:rPr>
                <w:rFonts w:asciiTheme="minorHAnsi" w:hAnsiTheme="minorHAnsi" w:cstheme="minorHAnsi"/>
                <w:b/>
              </w:rPr>
              <w:t>5.399.322,00</w:t>
            </w:r>
          </w:p>
        </w:tc>
      </w:tr>
    </w:tbl>
    <w:p w:rsidR="00962E92" w:rsidRPr="00846A7C" w:rsidRDefault="00962E92" w:rsidP="000403CB">
      <w:pPr>
        <w:pStyle w:val="NoSpacing"/>
        <w:shd w:val="clear" w:color="auto" w:fill="FFFFFF"/>
        <w:spacing w:line="276" w:lineRule="auto"/>
        <w:jc w:val="both"/>
        <w:rPr>
          <w:rFonts w:asciiTheme="minorHAnsi" w:hAnsiTheme="minorHAnsi" w:cstheme="minorHAnsi"/>
          <w:b/>
        </w:rPr>
      </w:pPr>
    </w:p>
    <w:p w:rsidR="00C54AEA" w:rsidRPr="00846A7C" w:rsidRDefault="00C54AEA" w:rsidP="000403CB">
      <w:pPr>
        <w:pStyle w:val="NoSpacing"/>
        <w:spacing w:line="276" w:lineRule="auto"/>
        <w:jc w:val="both"/>
        <w:rPr>
          <w:rFonts w:asciiTheme="minorHAnsi" w:hAnsiTheme="minorHAnsi" w:cstheme="minorHAnsi"/>
          <w:b/>
          <w:color w:val="000000" w:themeColor="text1"/>
          <w:u w:val="single"/>
        </w:rPr>
      </w:pPr>
      <w:r w:rsidRPr="00846A7C">
        <w:rPr>
          <w:rFonts w:asciiTheme="minorHAnsi" w:hAnsiTheme="minorHAnsi" w:cstheme="minorHAnsi"/>
          <w:b/>
          <w:color w:val="000000" w:themeColor="text1"/>
          <w:u w:val="single"/>
        </w:rPr>
        <w:t xml:space="preserve">NAZIV PROGRAMA: </w:t>
      </w:r>
      <w:r w:rsidR="008E3DA3">
        <w:rPr>
          <w:rFonts w:asciiTheme="minorHAnsi" w:hAnsiTheme="minorHAnsi" w:cstheme="minorHAnsi"/>
          <w:b/>
          <w:color w:val="000000" w:themeColor="text1"/>
          <w:u w:val="single"/>
        </w:rPr>
        <w:t>1600 ZAJEDNIČKI I ADMINISTRATIVNI POSLOVI</w:t>
      </w:r>
    </w:p>
    <w:p w:rsidR="00C54AEA" w:rsidRPr="00846A7C" w:rsidRDefault="00C54AEA" w:rsidP="000403CB">
      <w:pPr>
        <w:pStyle w:val="NoSpacing"/>
        <w:shd w:val="clear" w:color="auto" w:fill="FFFFFF"/>
        <w:spacing w:line="276" w:lineRule="auto"/>
        <w:jc w:val="both"/>
        <w:rPr>
          <w:rFonts w:asciiTheme="minorHAnsi" w:hAnsiTheme="minorHAnsi" w:cstheme="minorHAnsi"/>
          <w:b/>
          <w:color w:val="000000" w:themeColor="text1"/>
        </w:rPr>
      </w:pPr>
    </w:p>
    <w:p w:rsidR="00C54AEA" w:rsidRPr="00846A7C" w:rsidRDefault="00C54AEA" w:rsidP="000403CB">
      <w:pPr>
        <w:pStyle w:val="NoSpacing"/>
        <w:shd w:val="clear" w:color="auto" w:fill="FFFFFF"/>
        <w:spacing w:line="276" w:lineRule="auto"/>
        <w:jc w:val="both"/>
        <w:rPr>
          <w:rFonts w:asciiTheme="minorHAnsi" w:hAnsiTheme="minorHAnsi" w:cstheme="minorHAnsi"/>
          <w:color w:val="000000" w:themeColor="text1"/>
        </w:rPr>
      </w:pPr>
      <w:r w:rsidRPr="00846A7C">
        <w:rPr>
          <w:rFonts w:asciiTheme="minorHAnsi" w:hAnsiTheme="minorHAnsi" w:cstheme="minorHAnsi"/>
          <w:b/>
          <w:color w:val="000000" w:themeColor="text1"/>
        </w:rPr>
        <w:t>OPĆI CILJ:</w:t>
      </w:r>
    </w:p>
    <w:p w:rsidR="00C54AEA" w:rsidRPr="008E3DA3" w:rsidRDefault="008E3DA3" w:rsidP="000403CB">
      <w:pPr>
        <w:pStyle w:val="NoSpacing"/>
        <w:shd w:val="clear" w:color="auto" w:fill="FFFFFF"/>
        <w:spacing w:line="276" w:lineRule="auto"/>
        <w:jc w:val="both"/>
        <w:rPr>
          <w:rFonts w:asciiTheme="minorHAnsi" w:hAnsiTheme="minorHAnsi" w:cstheme="minorHAnsi"/>
          <w:color w:val="000000" w:themeColor="text1"/>
        </w:rPr>
      </w:pPr>
      <w:r w:rsidRPr="008E3DA3">
        <w:rPr>
          <w:rFonts w:cs="Calibri"/>
          <w:color w:val="000000" w:themeColor="text1"/>
        </w:rPr>
        <w:t>Financiranje troškova rada upravnih tijela i povjerenih poslova državne uprave u okviru zadanih proračunskih veličina po n</w:t>
      </w:r>
      <w:r w:rsidR="005D0378">
        <w:rPr>
          <w:rFonts w:cs="Calibri"/>
          <w:color w:val="000000" w:themeColor="text1"/>
        </w:rPr>
        <w:t>ačelu ekonomičnosti, u skladu s</w:t>
      </w:r>
      <w:r w:rsidRPr="008E3DA3">
        <w:rPr>
          <w:rFonts w:cs="Calibri"/>
          <w:color w:val="000000" w:themeColor="text1"/>
        </w:rPr>
        <w:t xml:space="preserve"> propisima i internim aktima koji uređuju mjerila i način korištenja proračunskih sredstava za obavljanje djelatnosti.</w:t>
      </w:r>
    </w:p>
    <w:p w:rsidR="00C54AEA" w:rsidRPr="00846A7C" w:rsidRDefault="00C54AEA" w:rsidP="000403CB">
      <w:pPr>
        <w:pStyle w:val="NoSpacing"/>
        <w:shd w:val="clear" w:color="auto" w:fill="FFFFFF"/>
        <w:spacing w:line="276" w:lineRule="auto"/>
        <w:jc w:val="both"/>
        <w:rPr>
          <w:rFonts w:asciiTheme="minorHAnsi" w:hAnsiTheme="minorHAnsi" w:cstheme="minorHAnsi"/>
          <w:b/>
          <w:color w:val="000000" w:themeColor="text1"/>
        </w:rPr>
      </w:pPr>
    </w:p>
    <w:p w:rsidR="00C0140F" w:rsidRDefault="00C54AEA" w:rsidP="000403CB">
      <w:pPr>
        <w:pStyle w:val="NoSpacing"/>
        <w:spacing w:line="276" w:lineRule="auto"/>
        <w:jc w:val="both"/>
        <w:rPr>
          <w:rFonts w:asciiTheme="minorHAnsi" w:hAnsiTheme="minorHAnsi" w:cstheme="minorHAnsi"/>
          <w:b/>
          <w:color w:val="000000" w:themeColor="text1"/>
        </w:rPr>
      </w:pPr>
      <w:r w:rsidRPr="00846A7C">
        <w:rPr>
          <w:rFonts w:asciiTheme="minorHAnsi" w:hAnsiTheme="minorHAnsi" w:cstheme="minorHAnsi"/>
          <w:b/>
          <w:color w:val="000000" w:themeColor="text1"/>
        </w:rPr>
        <w:t>POSEBNI CILJ:</w:t>
      </w:r>
    </w:p>
    <w:p w:rsidR="008E3DA3" w:rsidRPr="00C0140F" w:rsidRDefault="008E3DA3" w:rsidP="000403CB">
      <w:pPr>
        <w:pStyle w:val="NoSpacing"/>
        <w:spacing w:line="276" w:lineRule="auto"/>
        <w:jc w:val="both"/>
        <w:rPr>
          <w:rFonts w:cs="Calibri"/>
          <w:color w:val="000000" w:themeColor="text1"/>
        </w:rPr>
      </w:pPr>
      <w:r w:rsidRPr="00C0140F">
        <w:rPr>
          <w:rFonts w:cs="Calibri"/>
          <w:color w:val="000000" w:themeColor="text1"/>
        </w:rPr>
        <w:t>Stvaranje sveobuhvatnog,  učinkovitog i transparentnog sustava proračuna Dubrovačko-neretvanske županije u skladu sa zakonskim propisima i suvremenim standardima financijskog poslovanja,</w:t>
      </w:r>
    </w:p>
    <w:p w:rsidR="00C54AEA" w:rsidRPr="00740C12" w:rsidRDefault="008E3DA3" w:rsidP="00740C12">
      <w:pPr>
        <w:pStyle w:val="NoSpacing"/>
        <w:spacing w:line="276" w:lineRule="auto"/>
        <w:jc w:val="both"/>
        <w:rPr>
          <w:rFonts w:cs="Calibri"/>
          <w:color w:val="000000" w:themeColor="text1"/>
        </w:rPr>
      </w:pPr>
      <w:r w:rsidRPr="00C0140F">
        <w:rPr>
          <w:rFonts w:cs="Calibri"/>
          <w:color w:val="000000" w:themeColor="text1"/>
        </w:rPr>
        <w:t>Redovno podmirivanje financijskih obveza prema zaposlenicima, korisnicima proračuna i drugim subjektima koji posluju sa Županijom,</w:t>
      </w:r>
      <w:r w:rsidR="00740C12">
        <w:rPr>
          <w:rFonts w:cs="Calibri"/>
          <w:color w:val="000000" w:themeColor="text1"/>
        </w:rPr>
        <w:t xml:space="preserve"> p</w:t>
      </w:r>
      <w:r w:rsidRPr="00C0140F">
        <w:rPr>
          <w:rFonts w:cs="Calibri"/>
          <w:color w:val="000000" w:themeColor="text1"/>
        </w:rPr>
        <w:t>ravodobno i učinkovito izvršavanje povjerenih poslova državne uprave</w:t>
      </w:r>
      <w:r w:rsidR="00740C12">
        <w:rPr>
          <w:rFonts w:cs="Calibri"/>
          <w:color w:val="000000" w:themeColor="text1"/>
        </w:rPr>
        <w:t xml:space="preserve"> </w:t>
      </w:r>
      <w:r w:rsidRPr="00C0140F">
        <w:rPr>
          <w:rFonts w:cs="Calibri"/>
          <w:color w:val="000000" w:themeColor="text1"/>
        </w:rPr>
        <w:t>te poduzimanje svih potrebnih predradnji kako bi se osigurao kontinuitet u obavljanju povjerenih poslova.</w:t>
      </w:r>
    </w:p>
    <w:p w:rsidR="00C0140F" w:rsidRDefault="00C0140F" w:rsidP="000403CB">
      <w:pPr>
        <w:pStyle w:val="NoSpacing"/>
        <w:shd w:val="clear" w:color="auto" w:fill="FFFFFF"/>
        <w:spacing w:line="276" w:lineRule="auto"/>
        <w:jc w:val="both"/>
        <w:rPr>
          <w:rFonts w:asciiTheme="minorHAnsi" w:hAnsiTheme="minorHAnsi" w:cstheme="minorHAnsi"/>
          <w:i/>
          <w:color w:val="000000" w:themeColor="text1"/>
        </w:rPr>
      </w:pPr>
    </w:p>
    <w:p w:rsidR="008510C0" w:rsidRDefault="008510C0" w:rsidP="000403CB">
      <w:pPr>
        <w:pStyle w:val="NoSpacing"/>
        <w:shd w:val="clear" w:color="auto" w:fill="FFFFFF"/>
        <w:spacing w:line="276" w:lineRule="auto"/>
        <w:jc w:val="both"/>
        <w:rPr>
          <w:rFonts w:asciiTheme="minorHAnsi" w:hAnsiTheme="minorHAnsi" w:cstheme="minorHAnsi"/>
          <w:b/>
          <w:color w:val="000000" w:themeColor="text1"/>
        </w:rPr>
      </w:pPr>
      <w:bookmarkStart w:id="1" w:name="_Hlk117231780"/>
      <w:r>
        <w:rPr>
          <w:rFonts w:asciiTheme="minorHAnsi" w:hAnsiTheme="minorHAnsi" w:cstheme="minorHAnsi"/>
          <w:b/>
          <w:color w:val="000000" w:themeColor="text1"/>
        </w:rPr>
        <w:t>POVEZANOST PROGRAMA SA STRATEŠKIM DOKUMENTIMA:</w:t>
      </w:r>
      <w:bookmarkEnd w:id="1"/>
    </w:p>
    <w:p w:rsidR="00C0140F" w:rsidRPr="00C0140F" w:rsidRDefault="00C0140F" w:rsidP="000403CB">
      <w:pPr>
        <w:pStyle w:val="NoSpacing"/>
        <w:shd w:val="clear" w:color="auto" w:fill="FFFFFF"/>
        <w:spacing w:line="276" w:lineRule="auto"/>
        <w:jc w:val="both"/>
        <w:rPr>
          <w:rFonts w:asciiTheme="minorHAnsi" w:hAnsiTheme="minorHAnsi" w:cstheme="minorHAnsi"/>
          <w:color w:val="000000" w:themeColor="text1"/>
        </w:rPr>
      </w:pPr>
      <w:r w:rsidRPr="00C0140F">
        <w:rPr>
          <w:rFonts w:asciiTheme="minorHAnsi" w:hAnsiTheme="minorHAnsi" w:cstheme="minorHAnsi"/>
          <w:color w:val="000000" w:themeColor="text1"/>
        </w:rPr>
        <w:t>Ovaj program ne doprinosi izravno ostvarenju posebnih ciljeva iz strateškog okvira Plana razvoja Dubrovačko-neretvanske županije za razdoblje 2022-2027. godine, ali je kroz Provedbeni program Dubrovačko-neretvanske županije za razdoblje 2021.-2025. godine koji predstavlja poveznicu Proračuna i Plana razvoja i obuhvaća sve rashode i izdatke Proračuna povezan s posebnom mjerom</w:t>
      </w:r>
      <w:r w:rsidR="005D0378">
        <w:rPr>
          <w:rFonts w:asciiTheme="minorHAnsi" w:hAnsiTheme="minorHAnsi" w:cstheme="minorHAnsi"/>
          <w:color w:val="000000" w:themeColor="text1"/>
        </w:rPr>
        <w:t xml:space="preserve"> 4.1.1. jač</w:t>
      </w:r>
      <w:r w:rsidR="005064EE">
        <w:rPr>
          <w:rFonts w:asciiTheme="minorHAnsi" w:hAnsiTheme="minorHAnsi" w:cstheme="minorHAnsi"/>
          <w:color w:val="000000" w:themeColor="text1"/>
        </w:rPr>
        <w:t>anje kvalitete županijskih i lokalnih institucija</w:t>
      </w:r>
      <w:r w:rsidRPr="00C0140F">
        <w:rPr>
          <w:rFonts w:asciiTheme="minorHAnsi" w:hAnsiTheme="minorHAnsi" w:cstheme="minorHAnsi"/>
          <w:color w:val="000000" w:themeColor="text1"/>
        </w:rPr>
        <w:t>.</w:t>
      </w:r>
    </w:p>
    <w:p w:rsidR="00C0140F" w:rsidRPr="00C0140F" w:rsidRDefault="00C0140F" w:rsidP="000403CB">
      <w:pPr>
        <w:pStyle w:val="NoSpacing"/>
        <w:shd w:val="clear" w:color="auto" w:fill="FFFFFF"/>
        <w:spacing w:line="276" w:lineRule="auto"/>
        <w:jc w:val="both"/>
        <w:rPr>
          <w:rFonts w:asciiTheme="minorHAnsi" w:hAnsiTheme="minorHAnsi" w:cstheme="minorHAnsi"/>
          <w:b/>
          <w:color w:val="000000" w:themeColor="text1"/>
        </w:rPr>
      </w:pPr>
    </w:p>
    <w:p w:rsidR="00C54AEA" w:rsidRPr="00846A7C" w:rsidRDefault="00C54AEA" w:rsidP="000403CB">
      <w:pPr>
        <w:spacing w:line="276" w:lineRule="auto"/>
        <w:jc w:val="both"/>
        <w:rPr>
          <w:rFonts w:asciiTheme="minorHAnsi" w:hAnsiTheme="minorHAnsi" w:cstheme="minorHAnsi"/>
          <w:color w:val="000000" w:themeColor="text1"/>
          <w:sz w:val="22"/>
        </w:rPr>
      </w:pPr>
      <w:r w:rsidRPr="00846A7C">
        <w:rPr>
          <w:rFonts w:asciiTheme="minorHAnsi" w:hAnsiTheme="minorHAnsi" w:cstheme="minorHAnsi"/>
          <w:b/>
          <w:color w:val="000000" w:themeColor="text1"/>
          <w:sz w:val="22"/>
        </w:rPr>
        <w:t>ZAKONSKE I DRUGE PODLOGE NA KOJIMA SE PROGRAM ZASNIVA</w:t>
      </w:r>
      <w:r w:rsidRPr="00846A7C">
        <w:rPr>
          <w:rFonts w:asciiTheme="minorHAnsi" w:hAnsiTheme="minorHAnsi" w:cstheme="minorHAnsi"/>
          <w:color w:val="000000" w:themeColor="text1"/>
          <w:sz w:val="22"/>
        </w:rPr>
        <w:t>:</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proračunu (NN 144/21),</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financiranju jedinica lokalne i područne (regionalne) samouprave (NN127/17 i 138/2020),</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lokalnoj i područnoj (regionalnoj) samoupravi (NN 123/17, 98/19,144/2020),</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-Zakon o lokalnim porezima (NN 115/16, 101/17),</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-Pravilnik o proračunskom računovodstvu i Računskom planu (NN124/14, 115/15, 87/16, 3/18, 126/19 i 108/20),</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Pravilnik o financijskom izvještavanju u proračunskom računovodstvu (NN 3/15, 93/15, 135/15, 2/17,  28/17,  112/18 i 126/19i 145/20 ),</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fiskalnoj odgovornosti (NN 111/18 ),</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Uredba o sastavljanju i predaji izjave o fiskalnoj odgovornosti i izvještaja o primjeni fiskalnih pravila (NN 95/19),</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lastRenderedPageBreak/>
        <w:t>- Pravilnik o proračunskim klasfikacij</w:t>
      </w:r>
      <w:r w:rsidR="005D0378">
        <w:rPr>
          <w:rFonts w:cs="Calibri"/>
          <w:color w:val="000000" w:themeColor="text1"/>
        </w:rPr>
        <w:t>a</w:t>
      </w:r>
      <w:r w:rsidRPr="00FE7D07">
        <w:rPr>
          <w:rFonts w:cs="Calibri"/>
          <w:color w:val="000000" w:themeColor="text1"/>
        </w:rPr>
        <w:t>ma (NN 26/10, 120/13 i 1/20),</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Pravilnik o utvrđivanju proračunskih i izvanproračunskih korisnika proračuna JLP(R)S te o načinu vođenja Registra (NN 128/09,142/14 i 23/19 i 63/21),</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službenicima i namještenicima u lokalnoj i područnoj (regionalnoj) samoupravi(NN 86/08, 61/11, 04/18,112/19),</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plaćama u lokalnoj i područnoj (regionalnoj) samoupravi (NN 28/10),</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porezu na dohodak (NN 115/16, 106/18,121/19 i 32/20),</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Pravilnik o porezu na dohodak (NN 10/17,128/17,106/18, 1/19,80/19, 1/20 i 74/20 i 1/21),</w:t>
      </w:r>
    </w:p>
    <w:p w:rsidR="00FE7D07" w:rsidRPr="00FE7D07" w:rsidRDefault="00FE7D07" w:rsidP="000403CB">
      <w:pPr>
        <w:pStyle w:val="NoSpacing"/>
        <w:spacing w:line="276" w:lineRule="auto"/>
        <w:jc w:val="both"/>
        <w:rPr>
          <w:rFonts w:cs="Calibri"/>
          <w:color w:val="000000" w:themeColor="text1"/>
        </w:rPr>
      </w:pPr>
      <w:r w:rsidRPr="00FE7D07">
        <w:rPr>
          <w:rFonts w:cs="Calibri"/>
          <w:color w:val="000000" w:themeColor="text1"/>
        </w:rPr>
        <w:t>- Zakon o sustavu unutarnjih kontrola u javnom sektoru (NN 78/15 i 102/19),</w:t>
      </w:r>
    </w:p>
    <w:p w:rsidR="00FE7D07" w:rsidRPr="00846A7C" w:rsidRDefault="00FE7D07" w:rsidP="000403CB">
      <w:pPr>
        <w:pStyle w:val="NoSpacing"/>
        <w:shd w:val="clear" w:color="auto" w:fill="FFFFFF"/>
        <w:spacing w:line="276" w:lineRule="auto"/>
        <w:jc w:val="both"/>
        <w:rPr>
          <w:rFonts w:asciiTheme="minorHAnsi" w:hAnsiTheme="minorHAnsi" w:cstheme="minorHAnsi"/>
          <w:i/>
          <w:color w:val="FF0000"/>
        </w:rPr>
      </w:pPr>
    </w:p>
    <w:p w:rsidR="00C54AEA" w:rsidRPr="00846A7C" w:rsidRDefault="00C54AEA" w:rsidP="000403CB">
      <w:pPr>
        <w:pStyle w:val="NoSpacing"/>
        <w:shd w:val="clear" w:color="auto" w:fill="FFFFFF"/>
        <w:tabs>
          <w:tab w:val="left" w:pos="1643"/>
        </w:tabs>
        <w:spacing w:line="276" w:lineRule="auto"/>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NOSITELJ AKTIVNOSTI: </w:t>
      </w:r>
      <w:r w:rsidR="007E00F9" w:rsidRPr="00EF216C">
        <w:rPr>
          <w:rFonts w:asciiTheme="minorHAnsi" w:hAnsiTheme="minorHAnsi" w:cstheme="minorHAnsi"/>
          <w:color w:val="000000" w:themeColor="text1"/>
        </w:rPr>
        <w:t>Dubrovačko neretvanska županija</w:t>
      </w:r>
    </w:p>
    <w:p w:rsidR="00C54AEA" w:rsidRPr="00846A7C" w:rsidRDefault="00C54AEA" w:rsidP="000403CB">
      <w:pPr>
        <w:pStyle w:val="NoSpacing"/>
        <w:shd w:val="clear" w:color="auto" w:fill="FFFFFF"/>
        <w:spacing w:line="276" w:lineRule="auto"/>
        <w:jc w:val="both"/>
        <w:rPr>
          <w:rFonts w:asciiTheme="minorHAnsi" w:hAnsiTheme="minorHAnsi" w:cstheme="minorHAnsi"/>
          <w:color w:val="000000" w:themeColor="text1"/>
        </w:rPr>
      </w:pPr>
    </w:p>
    <w:p w:rsidR="00C54AEA" w:rsidRDefault="00C54AEA" w:rsidP="000403CB">
      <w:pPr>
        <w:pStyle w:val="NoSpacing"/>
        <w:shd w:val="clear" w:color="auto" w:fill="FFFFFF"/>
        <w:spacing w:line="276" w:lineRule="auto"/>
        <w:jc w:val="both"/>
        <w:rPr>
          <w:rFonts w:asciiTheme="minorHAnsi" w:hAnsiTheme="minorHAnsi" w:cstheme="minorHAnsi"/>
          <w:color w:val="000000" w:themeColor="text1"/>
        </w:rPr>
      </w:pPr>
      <w:r w:rsidRPr="00846A7C">
        <w:rPr>
          <w:rFonts w:asciiTheme="minorHAnsi" w:hAnsiTheme="minorHAnsi" w:cstheme="minorHAnsi"/>
          <w:b/>
          <w:color w:val="000000" w:themeColor="text1"/>
        </w:rPr>
        <w:t>ISHODIŠTE I POKAZATELJI NA KOJIMA SE ZASNIVAJU IZRAČUNI I OCJENE</w:t>
      </w:r>
      <w:r w:rsidRPr="00846A7C">
        <w:rPr>
          <w:rFonts w:asciiTheme="minorHAnsi" w:hAnsiTheme="minorHAnsi" w:cstheme="minorHAnsi"/>
          <w:color w:val="000000" w:themeColor="text1"/>
        </w:rPr>
        <w:t xml:space="preserve"> </w:t>
      </w:r>
      <w:r w:rsidRPr="00846A7C">
        <w:rPr>
          <w:rFonts w:asciiTheme="minorHAnsi" w:hAnsiTheme="minorHAnsi" w:cstheme="minorHAnsi"/>
          <w:b/>
          <w:color w:val="000000" w:themeColor="text1"/>
        </w:rPr>
        <w:t>POTREBNIH SREDSTAVA ZA PROVOĐENJE PROGRAMA:</w:t>
      </w:r>
    </w:p>
    <w:p w:rsidR="002E22D7" w:rsidRDefault="002E22D7" w:rsidP="000403CB">
      <w:pPr>
        <w:pStyle w:val="NoSpacing"/>
        <w:shd w:val="clear" w:color="auto" w:fill="FFFFFF"/>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 Ustrojstvo i djelokrug rada odjela</w:t>
      </w:r>
    </w:p>
    <w:p w:rsidR="002E22D7" w:rsidRDefault="002E22D7" w:rsidP="000403CB">
      <w:pPr>
        <w:pStyle w:val="NoSpacing"/>
        <w:shd w:val="clear" w:color="auto" w:fill="FFFFFF"/>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 Planirani broj zaposlenika u županijskoj upravi</w:t>
      </w:r>
    </w:p>
    <w:p w:rsidR="00C54AEA" w:rsidRDefault="002E22D7" w:rsidP="000403CB">
      <w:pPr>
        <w:pStyle w:val="NoSpacing"/>
        <w:shd w:val="clear" w:color="auto" w:fill="FFFFFF"/>
        <w:spacing w:line="276" w:lineRule="auto"/>
        <w:jc w:val="both"/>
        <w:rPr>
          <w:rFonts w:asciiTheme="minorHAnsi" w:hAnsiTheme="minorHAnsi" w:cstheme="minorHAnsi"/>
          <w:color w:val="000000" w:themeColor="text1"/>
        </w:rPr>
      </w:pPr>
      <w:r>
        <w:rPr>
          <w:rFonts w:asciiTheme="minorHAnsi" w:hAnsiTheme="minorHAnsi" w:cstheme="minorHAnsi"/>
          <w:color w:val="000000" w:themeColor="text1"/>
        </w:rPr>
        <w:t>- Planirani porezni prihodi</w:t>
      </w:r>
    </w:p>
    <w:p w:rsidR="00740C12" w:rsidRPr="00846A7C" w:rsidRDefault="00740C12" w:rsidP="000403CB">
      <w:pPr>
        <w:pStyle w:val="NoSpacing"/>
        <w:shd w:val="clear" w:color="auto" w:fill="FFFFFF"/>
        <w:spacing w:line="276" w:lineRule="auto"/>
        <w:jc w:val="both"/>
        <w:rPr>
          <w:rFonts w:asciiTheme="minorHAnsi" w:hAnsiTheme="minorHAnsi" w:cstheme="minorHAnsi"/>
          <w:color w:val="000000" w:themeColor="text1"/>
        </w:rPr>
      </w:pPr>
    </w:p>
    <w:p w:rsidR="00C54AEA" w:rsidRPr="00350C47" w:rsidRDefault="00C54AEA" w:rsidP="000403CB">
      <w:pPr>
        <w:pStyle w:val="NoSpacing"/>
        <w:shd w:val="clear" w:color="auto" w:fill="FFFFFF"/>
        <w:spacing w:line="276" w:lineRule="auto"/>
        <w:jc w:val="both"/>
        <w:rPr>
          <w:rFonts w:asciiTheme="minorHAnsi" w:hAnsiTheme="minorHAnsi" w:cstheme="minorHAnsi"/>
          <w:color w:val="000000" w:themeColor="text1"/>
        </w:rPr>
      </w:pPr>
      <w:r w:rsidRPr="00350C47">
        <w:rPr>
          <w:rFonts w:asciiTheme="minorHAnsi" w:hAnsiTheme="minorHAnsi" w:cstheme="minorHAnsi"/>
          <w:b/>
          <w:color w:val="000000" w:themeColor="text1"/>
        </w:rPr>
        <w:t>IZVJEŠTAJ O POSTIGNUTIM CILJEVIMA I REZULTATIMA PROGRAMA TEMELJENIM NA POKAZATELJIMA USPJEŠNOSTI U PRETHODNOJ GODINI:</w:t>
      </w:r>
    </w:p>
    <w:p w:rsidR="002E22D7" w:rsidRPr="00350C47" w:rsidRDefault="002E22D7" w:rsidP="000403CB">
      <w:pPr>
        <w:pStyle w:val="NoSpacing"/>
        <w:shd w:val="clear" w:color="auto" w:fill="FFFFFF"/>
        <w:spacing w:line="276" w:lineRule="auto"/>
        <w:jc w:val="both"/>
        <w:rPr>
          <w:rFonts w:asciiTheme="minorHAnsi" w:hAnsiTheme="minorHAnsi" w:cstheme="minorHAnsi"/>
          <w:color w:val="000000" w:themeColor="text1"/>
        </w:rPr>
      </w:pPr>
      <w:r w:rsidRPr="00350C47">
        <w:rPr>
          <w:rFonts w:asciiTheme="minorHAnsi" w:hAnsiTheme="minorHAnsi" w:cstheme="minorHAnsi"/>
          <w:color w:val="000000" w:themeColor="text1"/>
        </w:rPr>
        <w:t xml:space="preserve">Sve aktivnosti u 2022 provode se u skladu </w:t>
      </w:r>
      <w:r w:rsidR="005D0378">
        <w:rPr>
          <w:rFonts w:asciiTheme="minorHAnsi" w:hAnsiTheme="minorHAnsi" w:cstheme="minorHAnsi"/>
          <w:color w:val="000000" w:themeColor="text1"/>
        </w:rPr>
        <w:t>s</w:t>
      </w:r>
      <w:r w:rsidR="000403CB">
        <w:rPr>
          <w:rFonts w:asciiTheme="minorHAnsi" w:hAnsiTheme="minorHAnsi" w:cstheme="minorHAnsi"/>
          <w:color w:val="000000" w:themeColor="text1"/>
        </w:rPr>
        <w:t xml:space="preserve"> planiranom dinamikom š</w:t>
      </w:r>
      <w:r w:rsidRPr="00350C47">
        <w:rPr>
          <w:rFonts w:asciiTheme="minorHAnsi" w:hAnsiTheme="minorHAnsi" w:cstheme="minorHAnsi"/>
          <w:color w:val="000000" w:themeColor="text1"/>
        </w:rPr>
        <w:t>to potvrđuje i ostvarenje pokazatelja uspješnosti. Svi propisani financijsko-planski dokumenti pravovremeno su izrađeni i predloženi i svi propisani izvještaji pravovremeno su izrađeni i predani nadležnim tijelima.</w:t>
      </w:r>
    </w:p>
    <w:p w:rsidR="002E22D7" w:rsidRDefault="002E22D7" w:rsidP="000403CB">
      <w:pPr>
        <w:pStyle w:val="NoSpacing"/>
        <w:shd w:val="clear" w:color="auto" w:fill="FFFFFF"/>
        <w:spacing w:line="276" w:lineRule="auto"/>
        <w:jc w:val="both"/>
        <w:rPr>
          <w:rFonts w:asciiTheme="minorHAnsi" w:hAnsiTheme="minorHAnsi" w:cstheme="minorHAnsi"/>
        </w:rPr>
      </w:pPr>
    </w:p>
    <w:p w:rsidR="000403CB" w:rsidRDefault="000403CB" w:rsidP="000403CB">
      <w:pPr>
        <w:pStyle w:val="NoSpacing"/>
        <w:shd w:val="clear" w:color="auto" w:fill="FFFFFF"/>
        <w:spacing w:line="276" w:lineRule="auto"/>
        <w:jc w:val="both"/>
        <w:rPr>
          <w:rFonts w:asciiTheme="minorHAnsi" w:hAnsiTheme="minorHAnsi" w:cstheme="minorHAnsi"/>
        </w:rPr>
      </w:pPr>
    </w:p>
    <w:p w:rsidR="00C54AEA" w:rsidRDefault="00C54AEA" w:rsidP="000403CB">
      <w:pPr>
        <w:pStyle w:val="NoSpacing"/>
        <w:shd w:val="clear" w:color="auto" w:fill="FFFFFF"/>
        <w:spacing w:line="276" w:lineRule="auto"/>
        <w:jc w:val="both"/>
        <w:rPr>
          <w:rFonts w:asciiTheme="minorHAnsi" w:hAnsiTheme="minorHAnsi" w:cstheme="minorHAnsi"/>
        </w:rPr>
      </w:pPr>
    </w:p>
    <w:p w:rsidR="00DC769A" w:rsidRPr="00350C47" w:rsidRDefault="00DC769A" w:rsidP="000403CB">
      <w:pPr>
        <w:pStyle w:val="NoSpacing"/>
        <w:shd w:val="clear" w:color="auto" w:fill="FFFFFF"/>
        <w:spacing w:line="276" w:lineRule="auto"/>
        <w:jc w:val="both"/>
        <w:rPr>
          <w:rFonts w:asciiTheme="minorHAnsi" w:hAnsiTheme="minorHAnsi" w:cstheme="minorHAnsi"/>
          <w:color w:val="FF0000"/>
        </w:rPr>
      </w:pPr>
    </w:p>
    <w:p w:rsidR="00A478D8" w:rsidRPr="00350C47" w:rsidRDefault="00AE1A1F" w:rsidP="000403CB">
      <w:pPr>
        <w:pStyle w:val="NoSpacing"/>
        <w:spacing w:line="276" w:lineRule="auto"/>
        <w:jc w:val="both"/>
        <w:rPr>
          <w:rFonts w:asciiTheme="minorHAnsi" w:hAnsiTheme="minorHAnsi" w:cstheme="minorHAnsi"/>
          <w:b/>
        </w:rPr>
      </w:pPr>
      <w:r w:rsidRPr="00350C47">
        <w:rPr>
          <w:rFonts w:asciiTheme="minorHAnsi" w:hAnsiTheme="minorHAnsi" w:cstheme="minorHAnsi"/>
          <w:b/>
        </w:rPr>
        <w:t>NAČIN I SREDSTVA ZA REALIZACIJU PROGRAMA:</w:t>
      </w:r>
      <w:r w:rsidR="00A478D8" w:rsidRPr="00350C47">
        <w:rPr>
          <w:rFonts w:asciiTheme="minorHAnsi" w:hAnsiTheme="minorHAnsi" w:cstheme="minorHAnsi"/>
          <w:b/>
        </w:rPr>
        <w:t xml:space="preserve"> </w:t>
      </w:r>
      <w:r w:rsidR="002E22D7" w:rsidRPr="00350C47">
        <w:rPr>
          <w:rFonts w:asciiTheme="minorHAnsi" w:hAnsiTheme="minorHAnsi" w:cstheme="minorHAnsi"/>
          <w:b/>
        </w:rPr>
        <w:t>1600 Zajednički stručni i administrativni poslovi</w:t>
      </w:r>
    </w:p>
    <w:p w:rsidR="00AE1A1F" w:rsidRPr="00350C47" w:rsidRDefault="00AE1A1F" w:rsidP="000403CB">
      <w:pPr>
        <w:pStyle w:val="NoSpacing"/>
        <w:shd w:val="clear" w:color="auto" w:fill="FFFFFF"/>
        <w:spacing w:line="276" w:lineRule="auto"/>
        <w:jc w:val="both"/>
        <w:rPr>
          <w:rFonts w:asciiTheme="minorHAnsi" w:hAnsiTheme="minorHAnsi" w:cstheme="minorHAnsi"/>
          <w:b/>
        </w:rPr>
      </w:pPr>
    </w:p>
    <w:tbl>
      <w:tblPr>
        <w:tblStyle w:val="TableGrid"/>
        <w:tblW w:w="0" w:type="auto"/>
        <w:tblLook w:val="04A0"/>
      </w:tblPr>
      <w:tblGrid>
        <w:gridCol w:w="637"/>
        <w:gridCol w:w="4243"/>
        <w:gridCol w:w="1394"/>
        <w:gridCol w:w="1394"/>
        <w:gridCol w:w="1394"/>
      </w:tblGrid>
      <w:tr w:rsidR="00A478D8" w:rsidRPr="00350C47" w:rsidTr="00787DDB">
        <w:tc>
          <w:tcPr>
            <w:tcW w:w="637" w:type="dxa"/>
            <w:shd w:val="clear" w:color="auto" w:fill="F2F2F2" w:themeFill="background1" w:themeFillShade="F2"/>
          </w:tcPr>
          <w:p w:rsidR="00B343C0" w:rsidRPr="00350C47" w:rsidRDefault="00B343C0" w:rsidP="000403CB">
            <w:pPr>
              <w:pStyle w:val="NoSpacing"/>
              <w:spacing w:line="276" w:lineRule="auto"/>
              <w:jc w:val="both"/>
              <w:rPr>
                <w:rFonts w:asciiTheme="minorHAnsi" w:hAnsiTheme="minorHAnsi" w:cstheme="minorHAnsi"/>
                <w:b/>
              </w:rPr>
            </w:pPr>
            <w:r w:rsidRPr="00350C47">
              <w:rPr>
                <w:rFonts w:asciiTheme="minorHAnsi" w:hAnsiTheme="minorHAnsi" w:cstheme="minorHAnsi"/>
                <w:b/>
              </w:rPr>
              <w:t>Rb</w:t>
            </w:r>
          </w:p>
        </w:tc>
        <w:tc>
          <w:tcPr>
            <w:tcW w:w="4243" w:type="dxa"/>
            <w:shd w:val="clear" w:color="auto" w:fill="F2F2F2" w:themeFill="background1" w:themeFillShade="F2"/>
          </w:tcPr>
          <w:p w:rsidR="00B343C0" w:rsidRPr="00350C47" w:rsidRDefault="00B343C0" w:rsidP="000403CB">
            <w:pPr>
              <w:pStyle w:val="NoSpacing"/>
              <w:spacing w:line="276" w:lineRule="auto"/>
              <w:jc w:val="both"/>
              <w:rPr>
                <w:rFonts w:asciiTheme="minorHAnsi" w:hAnsiTheme="minorHAnsi" w:cstheme="minorHAnsi"/>
                <w:b/>
              </w:rPr>
            </w:pPr>
            <w:r w:rsidRPr="00350C47">
              <w:rPr>
                <w:rFonts w:asciiTheme="minorHAnsi" w:hAnsiTheme="minorHAnsi" w:cstheme="minorHAnsi"/>
                <w:b/>
              </w:rPr>
              <w:t>Naziv aktivnosti / projekta</w:t>
            </w:r>
          </w:p>
        </w:tc>
        <w:tc>
          <w:tcPr>
            <w:tcW w:w="1394" w:type="dxa"/>
            <w:shd w:val="clear" w:color="auto" w:fill="F2F2F2" w:themeFill="background1" w:themeFillShade="F2"/>
          </w:tcPr>
          <w:p w:rsidR="00B343C0" w:rsidRPr="00350C47" w:rsidRDefault="004E3D9D" w:rsidP="00740C12">
            <w:pPr>
              <w:pStyle w:val="NoSpacing"/>
              <w:spacing w:line="276" w:lineRule="auto"/>
              <w:jc w:val="center"/>
              <w:rPr>
                <w:rFonts w:asciiTheme="minorHAnsi" w:hAnsiTheme="minorHAnsi" w:cstheme="minorHAnsi"/>
                <w:b/>
              </w:rPr>
            </w:pPr>
            <w:r w:rsidRPr="00350C47">
              <w:rPr>
                <w:rFonts w:asciiTheme="minorHAnsi" w:hAnsiTheme="minorHAnsi" w:cstheme="minorHAnsi"/>
                <w:b/>
              </w:rPr>
              <w:t>202</w:t>
            </w:r>
            <w:r w:rsidR="00BA6896" w:rsidRPr="00350C47">
              <w:rPr>
                <w:rFonts w:asciiTheme="minorHAnsi" w:hAnsiTheme="minorHAnsi" w:cstheme="minorHAnsi"/>
                <w:b/>
              </w:rPr>
              <w:t>3</w:t>
            </w:r>
            <w:r w:rsidR="00B343C0" w:rsidRPr="00350C47">
              <w:rPr>
                <w:rFonts w:asciiTheme="minorHAnsi" w:hAnsiTheme="minorHAnsi" w:cstheme="minorHAnsi"/>
                <w:b/>
              </w:rPr>
              <w:t>.</w:t>
            </w:r>
          </w:p>
        </w:tc>
        <w:tc>
          <w:tcPr>
            <w:tcW w:w="1394" w:type="dxa"/>
            <w:shd w:val="clear" w:color="auto" w:fill="F2F2F2" w:themeFill="background1" w:themeFillShade="F2"/>
          </w:tcPr>
          <w:p w:rsidR="00B343C0" w:rsidRPr="00350C47" w:rsidRDefault="004E3D9D" w:rsidP="00740C12">
            <w:pPr>
              <w:pStyle w:val="NoSpacing"/>
              <w:spacing w:line="276" w:lineRule="auto"/>
              <w:jc w:val="center"/>
              <w:rPr>
                <w:rFonts w:asciiTheme="minorHAnsi" w:hAnsiTheme="minorHAnsi" w:cstheme="minorHAnsi"/>
                <w:b/>
              </w:rPr>
            </w:pPr>
            <w:r w:rsidRPr="00350C47">
              <w:rPr>
                <w:rFonts w:asciiTheme="minorHAnsi" w:hAnsiTheme="minorHAnsi" w:cstheme="minorHAnsi"/>
                <w:b/>
              </w:rPr>
              <w:t>202</w:t>
            </w:r>
            <w:r w:rsidR="00BA6896" w:rsidRPr="00350C47">
              <w:rPr>
                <w:rFonts w:asciiTheme="minorHAnsi" w:hAnsiTheme="minorHAnsi" w:cstheme="minorHAnsi"/>
                <w:b/>
              </w:rPr>
              <w:t>4</w:t>
            </w:r>
            <w:r w:rsidR="00B343C0" w:rsidRPr="00350C47">
              <w:rPr>
                <w:rFonts w:asciiTheme="minorHAnsi" w:hAnsiTheme="minorHAnsi" w:cstheme="minorHAnsi"/>
                <w:b/>
              </w:rPr>
              <w:t>.</w:t>
            </w:r>
          </w:p>
        </w:tc>
        <w:tc>
          <w:tcPr>
            <w:tcW w:w="265" w:type="dxa"/>
            <w:shd w:val="clear" w:color="auto" w:fill="F2F2F2" w:themeFill="background1" w:themeFillShade="F2"/>
          </w:tcPr>
          <w:p w:rsidR="00B343C0" w:rsidRPr="00350C47" w:rsidRDefault="00206869" w:rsidP="00740C12">
            <w:pPr>
              <w:pStyle w:val="NoSpacing"/>
              <w:spacing w:line="276" w:lineRule="auto"/>
              <w:jc w:val="center"/>
              <w:rPr>
                <w:rFonts w:asciiTheme="minorHAnsi" w:hAnsiTheme="minorHAnsi" w:cstheme="minorHAnsi"/>
                <w:b/>
              </w:rPr>
            </w:pPr>
            <w:r w:rsidRPr="00350C47">
              <w:rPr>
                <w:rFonts w:asciiTheme="minorHAnsi" w:hAnsiTheme="minorHAnsi" w:cstheme="minorHAnsi"/>
                <w:b/>
              </w:rPr>
              <w:t>20</w:t>
            </w:r>
            <w:r w:rsidR="004E3D9D" w:rsidRPr="00350C47">
              <w:rPr>
                <w:rFonts w:asciiTheme="minorHAnsi" w:hAnsiTheme="minorHAnsi" w:cstheme="minorHAnsi"/>
                <w:b/>
              </w:rPr>
              <w:t>2</w:t>
            </w:r>
            <w:r w:rsidR="00BA6896" w:rsidRPr="00350C47">
              <w:rPr>
                <w:rFonts w:asciiTheme="minorHAnsi" w:hAnsiTheme="minorHAnsi" w:cstheme="minorHAnsi"/>
                <w:b/>
              </w:rPr>
              <w:t>5</w:t>
            </w:r>
            <w:r w:rsidR="00A52DD0" w:rsidRPr="00350C47">
              <w:rPr>
                <w:rFonts w:asciiTheme="minorHAnsi" w:hAnsiTheme="minorHAnsi" w:cstheme="minorHAnsi"/>
                <w:b/>
              </w:rPr>
              <w:t>.</w:t>
            </w:r>
          </w:p>
        </w:tc>
      </w:tr>
      <w:tr w:rsidR="00A52DD0" w:rsidRPr="00350C47" w:rsidTr="000403CB">
        <w:tc>
          <w:tcPr>
            <w:tcW w:w="637" w:type="dxa"/>
            <w:tcBorders>
              <w:bottom w:val="single" w:sz="4" w:space="0" w:color="auto"/>
            </w:tcBorders>
          </w:tcPr>
          <w:p w:rsidR="00A52DD0" w:rsidRPr="00787DDB" w:rsidRDefault="00A52DD0" w:rsidP="000403CB">
            <w:pPr>
              <w:pStyle w:val="NoSpacing"/>
              <w:spacing w:line="276" w:lineRule="auto"/>
              <w:jc w:val="both"/>
              <w:rPr>
                <w:rFonts w:asciiTheme="minorHAnsi" w:hAnsiTheme="minorHAnsi" w:cstheme="minorHAnsi"/>
              </w:rPr>
            </w:pPr>
            <w:r w:rsidRPr="00787DDB">
              <w:rPr>
                <w:rFonts w:asciiTheme="minorHAnsi" w:hAnsiTheme="minorHAnsi" w:cstheme="minorHAnsi"/>
              </w:rPr>
              <w:t>1.</w:t>
            </w:r>
          </w:p>
        </w:tc>
        <w:tc>
          <w:tcPr>
            <w:tcW w:w="4243" w:type="dxa"/>
            <w:tcBorders>
              <w:bottom w:val="single" w:sz="4" w:space="0" w:color="auto"/>
            </w:tcBorders>
          </w:tcPr>
          <w:p w:rsidR="00A52DD0"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A160001  Redovni rashodi za zaposle</w:t>
            </w:r>
            <w:r w:rsidR="006539CD">
              <w:rPr>
                <w:rFonts w:asciiTheme="minorHAnsi" w:hAnsiTheme="minorHAnsi" w:cstheme="minorHAnsi"/>
              </w:rPr>
              <w:t>ne</w:t>
            </w:r>
          </w:p>
        </w:tc>
        <w:tc>
          <w:tcPr>
            <w:tcW w:w="1394" w:type="dxa"/>
            <w:tcBorders>
              <w:bottom w:val="single" w:sz="4" w:space="0" w:color="auto"/>
            </w:tcBorders>
          </w:tcPr>
          <w:p w:rsidR="00A52DD0" w:rsidRPr="00787DDB" w:rsidRDefault="00E6721E"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2.390.200,00</w:t>
            </w:r>
          </w:p>
        </w:tc>
        <w:tc>
          <w:tcPr>
            <w:tcW w:w="1394" w:type="dxa"/>
            <w:tcBorders>
              <w:bottom w:val="single" w:sz="4" w:space="0" w:color="auto"/>
            </w:tcBorders>
          </w:tcPr>
          <w:p w:rsidR="00A52DD0" w:rsidRPr="00787DDB" w:rsidRDefault="00E6721E"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2.400.500,00</w:t>
            </w:r>
          </w:p>
        </w:tc>
        <w:tc>
          <w:tcPr>
            <w:tcW w:w="265" w:type="dxa"/>
            <w:tcBorders>
              <w:bottom w:val="single" w:sz="4" w:space="0" w:color="auto"/>
            </w:tcBorders>
          </w:tcPr>
          <w:p w:rsidR="00A52DD0" w:rsidRPr="00787DDB" w:rsidRDefault="00E6721E"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2.410.900,00</w:t>
            </w:r>
          </w:p>
        </w:tc>
      </w:tr>
      <w:tr w:rsidR="002E22D7" w:rsidRPr="00350C47" w:rsidTr="000403CB">
        <w:trPr>
          <w:trHeight w:val="159"/>
        </w:trPr>
        <w:tc>
          <w:tcPr>
            <w:tcW w:w="637" w:type="dxa"/>
            <w:tcBorders>
              <w:top w:val="single" w:sz="4" w:space="0" w:color="auto"/>
              <w:left w:val="single" w:sz="4" w:space="0" w:color="auto"/>
              <w:bottom w:val="single" w:sz="4" w:space="0" w:color="auto"/>
              <w:right w:val="single" w:sz="4" w:space="0" w:color="auto"/>
            </w:tcBorders>
          </w:tcPr>
          <w:p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2.</w:t>
            </w:r>
          </w:p>
        </w:tc>
        <w:tc>
          <w:tcPr>
            <w:tcW w:w="4243" w:type="dxa"/>
            <w:tcBorders>
              <w:top w:val="single" w:sz="4" w:space="0" w:color="auto"/>
              <w:left w:val="single" w:sz="4" w:space="0" w:color="auto"/>
              <w:bottom w:val="single" w:sz="4" w:space="0" w:color="auto"/>
              <w:right w:val="single" w:sz="4" w:space="0" w:color="auto"/>
            </w:tcBorders>
          </w:tcPr>
          <w:p w:rsidR="000403C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A160002  Redovni rashodi za zaposlene</w:t>
            </w:r>
          </w:p>
          <w:p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 xml:space="preserve"> - UDU</w:t>
            </w:r>
          </w:p>
        </w:tc>
        <w:tc>
          <w:tcPr>
            <w:tcW w:w="1394" w:type="dxa"/>
            <w:tcBorders>
              <w:top w:val="single" w:sz="4" w:space="0" w:color="auto"/>
              <w:left w:val="single" w:sz="4" w:space="0" w:color="auto"/>
              <w:bottom w:val="single" w:sz="4" w:space="0" w:color="auto"/>
              <w:right w:val="single" w:sz="4" w:space="0" w:color="auto"/>
            </w:tcBorders>
          </w:tcPr>
          <w:p w:rsidR="00E6721E" w:rsidRPr="00787DDB" w:rsidRDefault="000403CB" w:rsidP="00740C12">
            <w:pPr>
              <w:pStyle w:val="NoSpacing"/>
              <w:spacing w:line="276" w:lineRule="auto"/>
              <w:jc w:val="right"/>
              <w:rPr>
                <w:rFonts w:asciiTheme="minorHAnsi" w:hAnsiTheme="minorHAnsi" w:cstheme="minorHAnsi"/>
                <w:bCs/>
              </w:rPr>
            </w:pPr>
            <w:r>
              <w:rPr>
                <w:rFonts w:asciiTheme="minorHAnsi" w:hAnsiTheme="minorHAnsi" w:cstheme="minorHAnsi"/>
                <w:bCs/>
              </w:rPr>
              <w:t>2.42</w:t>
            </w:r>
            <w:r w:rsidRPr="00787DDB">
              <w:rPr>
                <w:rFonts w:asciiTheme="minorHAnsi" w:hAnsiTheme="minorHAnsi" w:cstheme="minorHAnsi"/>
                <w:bCs/>
              </w:rPr>
              <w:t>0.900,00</w:t>
            </w:r>
          </w:p>
        </w:tc>
        <w:tc>
          <w:tcPr>
            <w:tcW w:w="1394" w:type="dxa"/>
            <w:tcBorders>
              <w:top w:val="single" w:sz="4" w:space="0" w:color="auto"/>
              <w:left w:val="single" w:sz="4" w:space="0" w:color="auto"/>
              <w:bottom w:val="single" w:sz="4" w:space="0" w:color="auto"/>
              <w:right w:val="single" w:sz="4" w:space="0" w:color="auto"/>
            </w:tcBorders>
          </w:tcPr>
          <w:p w:rsidR="000403CB" w:rsidRPr="00787DDB" w:rsidRDefault="000403C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2.430.100,00</w:t>
            </w:r>
          </w:p>
          <w:p w:rsidR="00787DDB" w:rsidRPr="00787DDB" w:rsidRDefault="00787DDB" w:rsidP="00740C12">
            <w:pPr>
              <w:pStyle w:val="NoSpacing"/>
              <w:spacing w:line="276" w:lineRule="auto"/>
              <w:jc w:val="right"/>
              <w:rPr>
                <w:rFonts w:asciiTheme="minorHAnsi" w:hAnsiTheme="minorHAnsi" w:cstheme="minorHAnsi"/>
                <w:bCs/>
              </w:rPr>
            </w:pPr>
          </w:p>
        </w:tc>
        <w:tc>
          <w:tcPr>
            <w:tcW w:w="265" w:type="dxa"/>
            <w:tcBorders>
              <w:top w:val="single" w:sz="4" w:space="0" w:color="auto"/>
              <w:left w:val="single" w:sz="4" w:space="0" w:color="auto"/>
              <w:bottom w:val="single" w:sz="4" w:space="0" w:color="auto"/>
              <w:right w:val="single" w:sz="4" w:space="0" w:color="auto"/>
            </w:tcBorders>
          </w:tcPr>
          <w:p w:rsidR="002E22D7" w:rsidRPr="00787DDB" w:rsidRDefault="000403CB" w:rsidP="00740C12">
            <w:pPr>
              <w:pStyle w:val="NoSpacing"/>
              <w:spacing w:line="276" w:lineRule="auto"/>
              <w:jc w:val="right"/>
              <w:rPr>
                <w:rFonts w:asciiTheme="minorHAnsi" w:hAnsiTheme="minorHAnsi" w:cstheme="minorHAnsi"/>
                <w:bCs/>
              </w:rPr>
            </w:pPr>
            <w:r>
              <w:rPr>
                <w:rFonts w:asciiTheme="minorHAnsi" w:hAnsiTheme="minorHAnsi" w:cstheme="minorHAnsi"/>
                <w:bCs/>
              </w:rPr>
              <w:t>2.439.300,00</w:t>
            </w:r>
          </w:p>
          <w:p w:rsidR="00787DDB" w:rsidRPr="00787DDB" w:rsidRDefault="00787DDB" w:rsidP="00740C12">
            <w:pPr>
              <w:pStyle w:val="NoSpacing"/>
              <w:spacing w:line="276" w:lineRule="auto"/>
              <w:jc w:val="right"/>
              <w:rPr>
                <w:rFonts w:asciiTheme="minorHAnsi" w:hAnsiTheme="minorHAnsi" w:cstheme="minorHAnsi"/>
                <w:bCs/>
              </w:rPr>
            </w:pPr>
          </w:p>
        </w:tc>
      </w:tr>
      <w:tr w:rsidR="002E22D7" w:rsidRPr="00350C47" w:rsidTr="000403CB">
        <w:tc>
          <w:tcPr>
            <w:tcW w:w="637" w:type="dxa"/>
            <w:tcBorders>
              <w:top w:val="single" w:sz="4" w:space="0" w:color="auto"/>
            </w:tcBorders>
          </w:tcPr>
          <w:p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3.</w:t>
            </w:r>
          </w:p>
        </w:tc>
        <w:tc>
          <w:tcPr>
            <w:tcW w:w="4243" w:type="dxa"/>
            <w:tcBorders>
              <w:top w:val="single" w:sz="4" w:space="0" w:color="auto"/>
            </w:tcBorders>
          </w:tcPr>
          <w:p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A160003 Financiranje ostalih rashoda za zaposlene</w:t>
            </w:r>
          </w:p>
        </w:tc>
        <w:tc>
          <w:tcPr>
            <w:tcW w:w="1394" w:type="dxa"/>
            <w:tcBorders>
              <w:top w:val="single" w:sz="4" w:space="0" w:color="auto"/>
            </w:tcBorders>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241.600,00</w:t>
            </w:r>
          </w:p>
        </w:tc>
        <w:tc>
          <w:tcPr>
            <w:tcW w:w="1394" w:type="dxa"/>
            <w:tcBorders>
              <w:top w:val="single" w:sz="4" w:space="0" w:color="auto"/>
            </w:tcBorders>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243.000,00</w:t>
            </w:r>
          </w:p>
        </w:tc>
        <w:tc>
          <w:tcPr>
            <w:tcW w:w="265" w:type="dxa"/>
            <w:tcBorders>
              <w:top w:val="single" w:sz="4" w:space="0" w:color="auto"/>
            </w:tcBorders>
          </w:tcPr>
          <w:p w:rsidR="002E22D7" w:rsidRPr="00787DDB" w:rsidRDefault="00787DDB" w:rsidP="00740C12">
            <w:pPr>
              <w:pStyle w:val="NoSpacing"/>
              <w:spacing w:line="276" w:lineRule="auto"/>
              <w:jc w:val="right"/>
              <w:rPr>
                <w:rFonts w:asciiTheme="minorHAnsi" w:hAnsiTheme="minorHAnsi" w:cstheme="minorHAnsi"/>
                <w:bCs/>
              </w:rPr>
            </w:pPr>
            <w:r>
              <w:rPr>
                <w:rFonts w:asciiTheme="minorHAnsi" w:hAnsiTheme="minorHAnsi" w:cstheme="minorHAnsi"/>
                <w:bCs/>
              </w:rPr>
              <w:t>243.8</w:t>
            </w:r>
            <w:r w:rsidRPr="00787DDB">
              <w:rPr>
                <w:rFonts w:asciiTheme="minorHAnsi" w:hAnsiTheme="minorHAnsi" w:cstheme="minorHAnsi"/>
                <w:bCs/>
              </w:rPr>
              <w:t>00,00</w:t>
            </w:r>
          </w:p>
        </w:tc>
      </w:tr>
      <w:tr w:rsidR="002E22D7" w:rsidRPr="00350C47" w:rsidTr="00787DDB">
        <w:tc>
          <w:tcPr>
            <w:tcW w:w="637" w:type="dxa"/>
          </w:tcPr>
          <w:p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4.</w:t>
            </w:r>
          </w:p>
        </w:tc>
        <w:tc>
          <w:tcPr>
            <w:tcW w:w="4243" w:type="dxa"/>
          </w:tcPr>
          <w:p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A160004 Sredstva za preustroj upravnih tijela</w:t>
            </w:r>
          </w:p>
        </w:tc>
        <w:tc>
          <w:tcPr>
            <w:tcW w:w="1394" w:type="dxa"/>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4.003,00</w:t>
            </w:r>
          </w:p>
        </w:tc>
        <w:tc>
          <w:tcPr>
            <w:tcW w:w="1394" w:type="dxa"/>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0,00</w:t>
            </w:r>
          </w:p>
        </w:tc>
        <w:tc>
          <w:tcPr>
            <w:tcW w:w="265" w:type="dxa"/>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0,00</w:t>
            </w:r>
          </w:p>
        </w:tc>
      </w:tr>
      <w:tr w:rsidR="002E22D7" w:rsidRPr="00350C47" w:rsidTr="00787DDB">
        <w:tc>
          <w:tcPr>
            <w:tcW w:w="637" w:type="dxa"/>
          </w:tcPr>
          <w:p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5.</w:t>
            </w:r>
          </w:p>
        </w:tc>
        <w:tc>
          <w:tcPr>
            <w:tcW w:w="4243" w:type="dxa"/>
          </w:tcPr>
          <w:p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A160005 Financijski rashodi i naknada za naplatu poreza</w:t>
            </w:r>
          </w:p>
        </w:tc>
        <w:tc>
          <w:tcPr>
            <w:tcW w:w="1394" w:type="dxa"/>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146.000,00</w:t>
            </w:r>
          </w:p>
        </w:tc>
        <w:tc>
          <w:tcPr>
            <w:tcW w:w="1394" w:type="dxa"/>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146.000,00</w:t>
            </w:r>
          </w:p>
        </w:tc>
        <w:tc>
          <w:tcPr>
            <w:tcW w:w="265" w:type="dxa"/>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146.000,00</w:t>
            </w:r>
          </w:p>
        </w:tc>
      </w:tr>
      <w:tr w:rsidR="002E22D7" w:rsidRPr="00350C47" w:rsidTr="00787DDB">
        <w:tc>
          <w:tcPr>
            <w:tcW w:w="637" w:type="dxa"/>
          </w:tcPr>
          <w:p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6.</w:t>
            </w:r>
          </w:p>
        </w:tc>
        <w:tc>
          <w:tcPr>
            <w:tcW w:w="4243" w:type="dxa"/>
          </w:tcPr>
          <w:p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A160006 Otplata beskamatnog zajma</w:t>
            </w:r>
          </w:p>
        </w:tc>
        <w:tc>
          <w:tcPr>
            <w:tcW w:w="1394" w:type="dxa"/>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1.287.406,00</w:t>
            </w:r>
          </w:p>
        </w:tc>
        <w:tc>
          <w:tcPr>
            <w:tcW w:w="1394" w:type="dxa"/>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889.243,00</w:t>
            </w:r>
          </w:p>
        </w:tc>
        <w:tc>
          <w:tcPr>
            <w:tcW w:w="265" w:type="dxa"/>
          </w:tcPr>
          <w:p w:rsidR="002E22D7" w:rsidRPr="00787DDB" w:rsidRDefault="00787DDB" w:rsidP="00740C12">
            <w:pPr>
              <w:pStyle w:val="NoSpacing"/>
              <w:spacing w:line="276" w:lineRule="auto"/>
              <w:jc w:val="right"/>
              <w:rPr>
                <w:rFonts w:asciiTheme="minorHAnsi" w:hAnsiTheme="minorHAnsi" w:cstheme="minorHAnsi"/>
                <w:bCs/>
              </w:rPr>
            </w:pPr>
            <w:r>
              <w:rPr>
                <w:rFonts w:asciiTheme="minorHAnsi" w:hAnsiTheme="minorHAnsi" w:cstheme="minorHAnsi"/>
                <w:bCs/>
              </w:rPr>
              <w:t>0,00</w:t>
            </w:r>
          </w:p>
        </w:tc>
      </w:tr>
      <w:tr w:rsidR="002E22D7" w:rsidRPr="00350C47" w:rsidTr="00787DDB">
        <w:tc>
          <w:tcPr>
            <w:tcW w:w="637" w:type="dxa"/>
          </w:tcPr>
          <w:p w:rsidR="002E22D7" w:rsidRPr="00787DDB" w:rsidRDefault="002E22D7" w:rsidP="000403CB">
            <w:pPr>
              <w:pStyle w:val="NoSpacing"/>
              <w:spacing w:line="276" w:lineRule="auto"/>
              <w:jc w:val="both"/>
              <w:rPr>
                <w:rFonts w:asciiTheme="minorHAnsi" w:hAnsiTheme="minorHAnsi" w:cstheme="minorHAnsi"/>
              </w:rPr>
            </w:pPr>
            <w:r w:rsidRPr="00787DDB">
              <w:rPr>
                <w:rFonts w:asciiTheme="minorHAnsi" w:hAnsiTheme="minorHAnsi" w:cstheme="minorHAnsi"/>
              </w:rPr>
              <w:t>7.</w:t>
            </w:r>
          </w:p>
        </w:tc>
        <w:tc>
          <w:tcPr>
            <w:tcW w:w="4243" w:type="dxa"/>
          </w:tcPr>
          <w:p w:rsidR="002E22D7" w:rsidRPr="00787DDB" w:rsidRDefault="00350C47" w:rsidP="000403CB">
            <w:pPr>
              <w:pStyle w:val="NoSpacing"/>
              <w:spacing w:line="276" w:lineRule="auto"/>
              <w:jc w:val="both"/>
              <w:rPr>
                <w:rFonts w:asciiTheme="minorHAnsi" w:hAnsiTheme="minorHAnsi" w:cstheme="minorHAnsi"/>
              </w:rPr>
            </w:pPr>
            <w:r w:rsidRPr="00787DDB">
              <w:rPr>
                <w:rFonts w:asciiTheme="minorHAnsi" w:hAnsiTheme="minorHAnsi" w:cstheme="minorHAnsi"/>
              </w:rPr>
              <w:t>A 160007 Jamstvena zaliha</w:t>
            </w:r>
          </w:p>
        </w:tc>
        <w:tc>
          <w:tcPr>
            <w:tcW w:w="1394" w:type="dxa"/>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132.722,00</w:t>
            </w:r>
          </w:p>
        </w:tc>
        <w:tc>
          <w:tcPr>
            <w:tcW w:w="1394" w:type="dxa"/>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0,00</w:t>
            </w:r>
          </w:p>
        </w:tc>
        <w:tc>
          <w:tcPr>
            <w:tcW w:w="265" w:type="dxa"/>
          </w:tcPr>
          <w:p w:rsidR="002E22D7" w:rsidRPr="00787DDB" w:rsidRDefault="00787DDB" w:rsidP="00740C12">
            <w:pPr>
              <w:pStyle w:val="NoSpacing"/>
              <w:spacing w:line="276" w:lineRule="auto"/>
              <w:jc w:val="right"/>
              <w:rPr>
                <w:rFonts w:asciiTheme="minorHAnsi" w:hAnsiTheme="minorHAnsi" w:cstheme="minorHAnsi"/>
                <w:bCs/>
              </w:rPr>
            </w:pPr>
            <w:r w:rsidRPr="00787DDB">
              <w:rPr>
                <w:rFonts w:asciiTheme="minorHAnsi" w:hAnsiTheme="minorHAnsi" w:cstheme="minorHAnsi"/>
                <w:bCs/>
              </w:rPr>
              <w:t>132.722,00</w:t>
            </w:r>
          </w:p>
        </w:tc>
      </w:tr>
      <w:tr w:rsidR="00A52DD0" w:rsidRPr="00350C47" w:rsidTr="00787DDB">
        <w:tc>
          <w:tcPr>
            <w:tcW w:w="637" w:type="dxa"/>
          </w:tcPr>
          <w:p w:rsidR="00A52DD0" w:rsidRPr="00787DDB" w:rsidRDefault="00A52DD0" w:rsidP="000403CB">
            <w:pPr>
              <w:pStyle w:val="NoSpacing"/>
              <w:spacing w:line="276" w:lineRule="auto"/>
              <w:jc w:val="both"/>
              <w:rPr>
                <w:rFonts w:asciiTheme="minorHAnsi" w:hAnsiTheme="minorHAnsi" w:cstheme="minorHAnsi"/>
                <w:b/>
              </w:rPr>
            </w:pPr>
          </w:p>
        </w:tc>
        <w:tc>
          <w:tcPr>
            <w:tcW w:w="4243" w:type="dxa"/>
          </w:tcPr>
          <w:p w:rsidR="00A52DD0" w:rsidRPr="00787DDB" w:rsidRDefault="00A52DD0" w:rsidP="000403CB">
            <w:pPr>
              <w:pStyle w:val="NoSpacing"/>
              <w:spacing w:line="276" w:lineRule="auto"/>
              <w:jc w:val="both"/>
              <w:rPr>
                <w:rFonts w:asciiTheme="minorHAnsi" w:hAnsiTheme="minorHAnsi" w:cstheme="minorHAnsi"/>
                <w:b/>
              </w:rPr>
            </w:pPr>
            <w:r w:rsidRPr="00787DDB">
              <w:rPr>
                <w:rFonts w:asciiTheme="minorHAnsi" w:hAnsiTheme="minorHAnsi" w:cstheme="minorHAnsi"/>
                <w:b/>
              </w:rPr>
              <w:t>Ukupno program:</w:t>
            </w:r>
          </w:p>
        </w:tc>
        <w:tc>
          <w:tcPr>
            <w:tcW w:w="1394" w:type="dxa"/>
          </w:tcPr>
          <w:p w:rsidR="00A52DD0" w:rsidRPr="00787DDB" w:rsidRDefault="00787DDB" w:rsidP="00740C12">
            <w:pPr>
              <w:pStyle w:val="NoSpacing"/>
              <w:spacing w:line="276" w:lineRule="auto"/>
              <w:jc w:val="right"/>
              <w:rPr>
                <w:rFonts w:asciiTheme="minorHAnsi" w:hAnsiTheme="minorHAnsi" w:cstheme="minorHAnsi"/>
                <w:b/>
                <w:bCs/>
              </w:rPr>
            </w:pPr>
            <w:r w:rsidRPr="00787DDB">
              <w:rPr>
                <w:rFonts w:asciiTheme="minorHAnsi" w:hAnsiTheme="minorHAnsi" w:cstheme="minorHAnsi"/>
                <w:b/>
                <w:bCs/>
              </w:rPr>
              <w:t>6.622.831,00</w:t>
            </w:r>
          </w:p>
        </w:tc>
        <w:tc>
          <w:tcPr>
            <w:tcW w:w="1394" w:type="dxa"/>
          </w:tcPr>
          <w:p w:rsidR="00A52DD0" w:rsidRPr="00787DDB" w:rsidRDefault="00787DDB" w:rsidP="00740C12">
            <w:pPr>
              <w:pStyle w:val="NoSpacing"/>
              <w:spacing w:line="276" w:lineRule="auto"/>
              <w:jc w:val="right"/>
              <w:rPr>
                <w:rFonts w:asciiTheme="minorHAnsi" w:hAnsiTheme="minorHAnsi" w:cstheme="minorHAnsi"/>
                <w:b/>
                <w:bCs/>
              </w:rPr>
            </w:pPr>
            <w:r w:rsidRPr="00787DDB">
              <w:rPr>
                <w:rFonts w:asciiTheme="minorHAnsi" w:hAnsiTheme="minorHAnsi" w:cstheme="minorHAnsi"/>
                <w:b/>
                <w:bCs/>
              </w:rPr>
              <w:t>6.108.843,00</w:t>
            </w:r>
          </w:p>
        </w:tc>
        <w:tc>
          <w:tcPr>
            <w:tcW w:w="265" w:type="dxa"/>
          </w:tcPr>
          <w:p w:rsidR="00A52DD0" w:rsidRPr="00787DDB" w:rsidRDefault="00787DDB" w:rsidP="00740C12">
            <w:pPr>
              <w:pStyle w:val="NoSpacing"/>
              <w:spacing w:line="276" w:lineRule="auto"/>
              <w:jc w:val="right"/>
              <w:rPr>
                <w:rFonts w:asciiTheme="minorHAnsi" w:hAnsiTheme="minorHAnsi" w:cstheme="minorHAnsi"/>
                <w:b/>
                <w:bCs/>
              </w:rPr>
            </w:pPr>
            <w:r>
              <w:rPr>
                <w:rFonts w:asciiTheme="minorHAnsi" w:hAnsiTheme="minorHAnsi" w:cstheme="minorHAnsi"/>
                <w:b/>
                <w:bCs/>
              </w:rPr>
              <w:t>5</w:t>
            </w:r>
            <w:r w:rsidRPr="00787DDB">
              <w:rPr>
                <w:rFonts w:asciiTheme="minorHAnsi" w:hAnsiTheme="minorHAnsi" w:cstheme="minorHAnsi"/>
                <w:b/>
                <w:bCs/>
              </w:rPr>
              <w:t>.372.722,00</w:t>
            </w:r>
          </w:p>
        </w:tc>
      </w:tr>
    </w:tbl>
    <w:p w:rsidR="00B343C0" w:rsidRDefault="00B343C0" w:rsidP="000403CB">
      <w:pPr>
        <w:pStyle w:val="NoSpacing"/>
        <w:shd w:val="clear" w:color="auto" w:fill="FFFFFF"/>
        <w:spacing w:line="276" w:lineRule="auto"/>
        <w:jc w:val="both"/>
        <w:rPr>
          <w:rFonts w:asciiTheme="minorHAnsi" w:hAnsiTheme="minorHAnsi" w:cstheme="minorHAnsi"/>
          <w:b/>
        </w:rPr>
      </w:pPr>
    </w:p>
    <w:p w:rsidR="00787DDB" w:rsidRPr="0048373F" w:rsidRDefault="006539CD" w:rsidP="000403CB">
      <w:pPr>
        <w:pStyle w:val="NoSpacing"/>
        <w:shd w:val="clear" w:color="auto" w:fill="FFFFFF"/>
        <w:spacing w:line="276" w:lineRule="auto"/>
        <w:jc w:val="both"/>
        <w:rPr>
          <w:rFonts w:cs="Calibri"/>
          <w:color w:val="000000" w:themeColor="text1"/>
        </w:rPr>
      </w:pPr>
      <w:r w:rsidRPr="0048373F">
        <w:rPr>
          <w:rFonts w:cs="Calibri"/>
          <w:color w:val="000000" w:themeColor="text1"/>
        </w:rPr>
        <w:t xml:space="preserve">U okviru aktivnosti </w:t>
      </w:r>
      <w:r w:rsidRPr="0048373F">
        <w:rPr>
          <w:rFonts w:cs="Calibri"/>
          <w:b/>
          <w:color w:val="000000" w:themeColor="text1"/>
        </w:rPr>
        <w:t>Redovni rashodi za zaposlene, Redovni rashodi za zaposlene – UDU, Financiranje ostalih rashoda za zaposlene i Sredstva za preustroj upravnih tijela</w:t>
      </w:r>
      <w:r w:rsidRPr="0048373F">
        <w:rPr>
          <w:rFonts w:cs="Calibri"/>
          <w:color w:val="000000" w:themeColor="text1"/>
        </w:rPr>
        <w:t xml:space="preserve"> planiraju se rashodi za plaće, </w:t>
      </w:r>
      <w:r w:rsidRPr="0048373F">
        <w:rPr>
          <w:rFonts w:cs="Calibri"/>
          <w:color w:val="000000" w:themeColor="text1"/>
        </w:rPr>
        <w:lastRenderedPageBreak/>
        <w:t>doprinose i ostale naknade za zaposlene i planiranje  dodatka za uspješnost na radu</w:t>
      </w:r>
      <w:r w:rsidR="00B017F5" w:rsidRPr="0048373F">
        <w:rPr>
          <w:rFonts w:cs="Calibri"/>
          <w:color w:val="000000" w:themeColor="text1"/>
        </w:rPr>
        <w:t>. Navedeni porast od 6</w:t>
      </w:r>
      <w:r w:rsidR="00740C12">
        <w:rPr>
          <w:rFonts w:cs="Calibri"/>
          <w:color w:val="000000" w:themeColor="text1"/>
        </w:rPr>
        <w:t xml:space="preserve">,5 </w:t>
      </w:r>
      <w:r w:rsidR="00B017F5" w:rsidRPr="0048373F">
        <w:rPr>
          <w:rFonts w:cs="Calibri"/>
          <w:color w:val="000000" w:themeColor="text1"/>
        </w:rPr>
        <w:t>% u odnosu na 2022. godinu prvenstveno je rezultat usklađenja visine plaća</w:t>
      </w:r>
      <w:r w:rsidR="005D0378">
        <w:rPr>
          <w:rFonts w:cs="Calibri"/>
          <w:color w:val="000000" w:themeColor="text1"/>
        </w:rPr>
        <w:t xml:space="preserve"> za službenike i namještenike s</w:t>
      </w:r>
      <w:r w:rsidR="00B017F5" w:rsidRPr="0048373F">
        <w:rPr>
          <w:rFonts w:cs="Calibri"/>
          <w:color w:val="000000" w:themeColor="text1"/>
        </w:rPr>
        <w:t xml:space="preserve"> rastućim troško</w:t>
      </w:r>
      <w:r w:rsidR="00740C12">
        <w:rPr>
          <w:rFonts w:cs="Calibri"/>
          <w:color w:val="000000" w:themeColor="text1"/>
        </w:rPr>
        <w:t xml:space="preserve">vima života uslijed inflacije te povećanje za minuli rad. </w:t>
      </w:r>
      <w:r w:rsidR="00B017F5" w:rsidRPr="0048373F">
        <w:rPr>
          <w:rFonts w:cs="Calibri"/>
          <w:color w:val="000000" w:themeColor="text1"/>
        </w:rPr>
        <w:t xml:space="preserve">Povećanje rashoda za zaposlene u idućoj godini rezultat je usklađivanja </w:t>
      </w:r>
      <w:r w:rsidR="005D0378">
        <w:rPr>
          <w:rFonts w:cs="Calibri"/>
          <w:color w:val="000000" w:themeColor="text1"/>
        </w:rPr>
        <w:t>materijalnih prava zaposlenih s</w:t>
      </w:r>
      <w:r w:rsidR="00B017F5" w:rsidRPr="0048373F">
        <w:rPr>
          <w:rFonts w:cs="Calibri"/>
          <w:color w:val="000000" w:themeColor="text1"/>
        </w:rPr>
        <w:t xml:space="preserve"> Izmjenama i dopu</w:t>
      </w:r>
      <w:r w:rsidR="005D0378">
        <w:rPr>
          <w:rFonts w:cs="Calibri"/>
          <w:color w:val="000000" w:themeColor="text1"/>
        </w:rPr>
        <w:t>nama Pravilnika o porezu na dodat</w:t>
      </w:r>
      <w:r w:rsidR="00B017F5" w:rsidRPr="0048373F">
        <w:rPr>
          <w:rFonts w:cs="Calibri"/>
          <w:color w:val="000000" w:themeColor="text1"/>
        </w:rPr>
        <w:t>ak.</w:t>
      </w:r>
    </w:p>
    <w:p w:rsidR="00B017F5" w:rsidRPr="0048373F" w:rsidRDefault="00B017F5" w:rsidP="000403CB">
      <w:pPr>
        <w:pStyle w:val="NoSpacing"/>
        <w:shd w:val="clear" w:color="auto" w:fill="FFFFFF"/>
        <w:spacing w:line="276" w:lineRule="auto"/>
        <w:jc w:val="both"/>
        <w:rPr>
          <w:rFonts w:cs="Calibri"/>
          <w:color w:val="000000" w:themeColor="text1"/>
        </w:rPr>
      </w:pPr>
      <w:r w:rsidRPr="0048373F">
        <w:rPr>
          <w:rFonts w:cs="Calibri"/>
          <w:color w:val="000000" w:themeColor="text1"/>
        </w:rPr>
        <w:t xml:space="preserve">U okviru aktivnosti </w:t>
      </w:r>
      <w:r w:rsidRPr="0048373F">
        <w:rPr>
          <w:rFonts w:cs="Calibri"/>
          <w:b/>
          <w:color w:val="000000" w:themeColor="text1"/>
        </w:rPr>
        <w:t>Financijski rash</w:t>
      </w:r>
      <w:r w:rsidR="006B1B3C" w:rsidRPr="0048373F">
        <w:rPr>
          <w:rFonts w:cs="Calibri"/>
          <w:b/>
          <w:color w:val="000000" w:themeColor="text1"/>
        </w:rPr>
        <w:t>odi i naknada za naplatu poreza</w:t>
      </w:r>
      <w:r w:rsidRPr="0048373F">
        <w:rPr>
          <w:rFonts w:cs="Calibri"/>
          <w:color w:val="000000" w:themeColor="text1"/>
        </w:rPr>
        <w:t xml:space="preserve"> planiraju se sredstva za isplatu 5% provizije Poreznoj upravi za poslove evidencije, razreza i naplate županijskih poreza, naknada Centru za vozila Hrvatske i Stanicama za tehnički pregled za poslove naplate poreza na cestovna motorna vozila, te 1% naknade Poreznoj upravi za obavljanje poslova utvrđivanja, evidentiranja, naplate, nadzora i ovrhe na porez na dohodak</w:t>
      </w:r>
      <w:r w:rsidR="006B1B3C" w:rsidRPr="0048373F">
        <w:rPr>
          <w:rFonts w:cs="Calibri"/>
          <w:color w:val="000000" w:themeColor="text1"/>
        </w:rPr>
        <w:t xml:space="preserve">. Ostali </w:t>
      </w:r>
      <w:r w:rsidRPr="0048373F">
        <w:rPr>
          <w:rFonts w:cs="Calibri"/>
          <w:color w:val="000000" w:themeColor="text1"/>
        </w:rPr>
        <w:t>financijski rashodi</w:t>
      </w:r>
      <w:r w:rsidR="006B1B3C" w:rsidRPr="0048373F">
        <w:rPr>
          <w:rFonts w:cs="Calibri"/>
          <w:color w:val="000000" w:themeColor="text1"/>
        </w:rPr>
        <w:t xml:space="preserve"> u najvećem dijelu odnose se na bankarske usluge i usluge platnog prometa.</w:t>
      </w:r>
    </w:p>
    <w:p w:rsidR="006B1B3C" w:rsidRPr="0048373F" w:rsidRDefault="006B1B3C" w:rsidP="000403CB">
      <w:pPr>
        <w:pStyle w:val="NoSpacing"/>
        <w:shd w:val="clear" w:color="auto" w:fill="FFFFFF"/>
        <w:spacing w:line="276" w:lineRule="auto"/>
        <w:jc w:val="both"/>
        <w:rPr>
          <w:rFonts w:cs="Calibri"/>
          <w:color w:val="000000" w:themeColor="text1"/>
        </w:rPr>
      </w:pPr>
      <w:r w:rsidRPr="0048373F">
        <w:rPr>
          <w:rFonts w:cs="Calibri"/>
          <w:color w:val="000000" w:themeColor="text1"/>
        </w:rPr>
        <w:t>Visina i struktura planiranih rashoda u sklopu ove aktivnosti jednaka je kroz sve tri godine projekcijskog razdobl</w:t>
      </w:r>
      <w:r w:rsidR="005D0378">
        <w:rPr>
          <w:rFonts w:cs="Calibri"/>
          <w:color w:val="000000" w:themeColor="text1"/>
        </w:rPr>
        <w:t>j</w:t>
      </w:r>
      <w:r w:rsidRPr="0048373F">
        <w:rPr>
          <w:rFonts w:cs="Calibri"/>
          <w:color w:val="000000" w:themeColor="text1"/>
        </w:rPr>
        <w:t>a.</w:t>
      </w:r>
    </w:p>
    <w:p w:rsidR="0048373F" w:rsidRPr="0048373F" w:rsidRDefault="0044350B" w:rsidP="000403CB">
      <w:pPr>
        <w:pStyle w:val="NoSpacing"/>
        <w:shd w:val="clear" w:color="auto" w:fill="FFFFFF"/>
        <w:spacing w:line="276" w:lineRule="auto"/>
        <w:jc w:val="both"/>
        <w:rPr>
          <w:rFonts w:cs="Calibri"/>
          <w:color w:val="000000" w:themeColor="text1"/>
        </w:rPr>
      </w:pPr>
      <w:r w:rsidRPr="0048373F">
        <w:rPr>
          <w:rFonts w:cs="Calibri"/>
          <w:color w:val="000000" w:themeColor="text1"/>
        </w:rPr>
        <w:t>U okviru aktivnosti</w:t>
      </w:r>
      <w:r w:rsidR="00DA4F2B" w:rsidRPr="0048373F">
        <w:rPr>
          <w:rFonts w:cs="Calibri"/>
          <w:color w:val="000000" w:themeColor="text1"/>
        </w:rPr>
        <w:t xml:space="preserve"> </w:t>
      </w:r>
      <w:r w:rsidR="00DA4F2B" w:rsidRPr="0048373F">
        <w:rPr>
          <w:rFonts w:cs="Calibri"/>
          <w:b/>
          <w:color w:val="000000" w:themeColor="text1"/>
        </w:rPr>
        <w:t>Ot</w:t>
      </w:r>
      <w:r w:rsidR="006B1B3C" w:rsidRPr="0048373F">
        <w:rPr>
          <w:rFonts w:cs="Calibri"/>
          <w:b/>
          <w:color w:val="000000" w:themeColor="text1"/>
        </w:rPr>
        <w:t>plata beskamatnog zajma</w:t>
      </w:r>
      <w:r w:rsidR="0048373F" w:rsidRPr="0048373F">
        <w:rPr>
          <w:rFonts w:cs="Calibri"/>
          <w:color w:val="000000" w:themeColor="text1"/>
        </w:rPr>
        <w:t xml:space="preserve"> </w:t>
      </w:r>
      <w:r w:rsidRPr="0048373F">
        <w:rPr>
          <w:rFonts w:cs="Calibri"/>
          <w:color w:val="000000" w:themeColor="text1"/>
        </w:rPr>
        <w:t xml:space="preserve"> planira se otplata beskamatnog zajma</w:t>
      </w:r>
      <w:r w:rsidR="00DA4F2B" w:rsidRPr="0048373F">
        <w:rPr>
          <w:rFonts w:cs="Calibri"/>
          <w:color w:val="000000" w:themeColor="text1"/>
        </w:rPr>
        <w:t xml:space="preserve"> osiguranog iz Državnog proračuna kao mjera Vlade Republike Hrvatske usmjerena</w:t>
      </w:r>
      <w:r w:rsidR="0014514B" w:rsidRPr="0048373F">
        <w:rPr>
          <w:rFonts w:cs="Calibri"/>
          <w:color w:val="000000" w:themeColor="text1"/>
        </w:rPr>
        <w:t xml:space="preserve"> prema </w:t>
      </w:r>
      <w:r w:rsidR="00DA4F2B" w:rsidRPr="0048373F">
        <w:rPr>
          <w:rFonts w:cs="Calibri"/>
          <w:color w:val="000000" w:themeColor="text1"/>
        </w:rPr>
        <w:t>jedinicama lokalne i podr</w:t>
      </w:r>
      <w:r w:rsidR="005D0378">
        <w:rPr>
          <w:rFonts w:cs="Calibri"/>
          <w:color w:val="000000" w:themeColor="text1"/>
        </w:rPr>
        <w:t>u</w:t>
      </w:r>
      <w:r w:rsidR="00DA4F2B" w:rsidRPr="0048373F">
        <w:rPr>
          <w:rFonts w:cs="Calibri"/>
          <w:color w:val="000000" w:themeColor="text1"/>
        </w:rPr>
        <w:t>čne (regionalne) samouprave koje su se suočile s nerazmjerom između dinamike priljeva sredstava i dosp</w:t>
      </w:r>
      <w:r w:rsidR="005D0378">
        <w:rPr>
          <w:rFonts w:cs="Calibri"/>
          <w:color w:val="000000" w:themeColor="text1"/>
        </w:rPr>
        <w:t>i</w:t>
      </w:r>
      <w:r w:rsidR="00DA4F2B" w:rsidRPr="0048373F">
        <w:rPr>
          <w:rFonts w:cs="Calibri"/>
          <w:color w:val="000000" w:themeColor="text1"/>
        </w:rPr>
        <w:t>jeća obveza, omogućene su mjere pomoći usmjerene na poboljšanje likvidnosti i učinkovitije upravljanje proračunskim sredstvima.</w:t>
      </w:r>
    </w:p>
    <w:p w:rsidR="0044350B" w:rsidRDefault="0048373F" w:rsidP="000403CB">
      <w:pPr>
        <w:pStyle w:val="NoSpacing"/>
        <w:shd w:val="clear" w:color="auto" w:fill="FFFFFF"/>
        <w:spacing w:line="276" w:lineRule="auto"/>
        <w:jc w:val="both"/>
        <w:rPr>
          <w:rFonts w:cs="Calibri"/>
          <w:color w:val="000000" w:themeColor="text1"/>
        </w:rPr>
      </w:pPr>
      <w:r w:rsidRPr="0048373F">
        <w:rPr>
          <w:rFonts w:cs="Calibri"/>
          <w:color w:val="000000" w:themeColor="text1"/>
        </w:rPr>
        <w:t>U 2023</w:t>
      </w:r>
      <w:r w:rsidR="000403CB">
        <w:rPr>
          <w:rFonts w:cs="Calibri"/>
          <w:color w:val="000000" w:themeColor="text1"/>
        </w:rPr>
        <w:t>.</w:t>
      </w:r>
      <w:r w:rsidRPr="0048373F">
        <w:rPr>
          <w:rFonts w:cs="Calibri"/>
          <w:color w:val="000000" w:themeColor="text1"/>
        </w:rPr>
        <w:t xml:space="preserve"> planira se otplata beskamatnog zajma za </w:t>
      </w:r>
      <w:r w:rsidR="0044350B" w:rsidRPr="0048373F">
        <w:rPr>
          <w:rFonts w:cs="Calibri"/>
          <w:color w:val="000000" w:themeColor="text1"/>
        </w:rPr>
        <w:t xml:space="preserve">odgođena plaćanja poreza i prireza na </w:t>
      </w:r>
      <w:r w:rsidR="00DA4F2B" w:rsidRPr="0048373F">
        <w:rPr>
          <w:rFonts w:cs="Calibri"/>
          <w:color w:val="000000" w:themeColor="text1"/>
        </w:rPr>
        <w:t>dohodak u visini od 371.623,00</w:t>
      </w:r>
      <w:r w:rsidR="009633C8" w:rsidRPr="0048373F">
        <w:rPr>
          <w:rFonts w:cs="Calibri"/>
          <w:color w:val="000000" w:themeColor="text1"/>
        </w:rPr>
        <w:t xml:space="preserve"> </w:t>
      </w:r>
      <w:r w:rsidR="00B8193B">
        <w:rPr>
          <w:rFonts w:cs="Calibri"/>
          <w:color w:val="000000" w:themeColor="text1"/>
        </w:rPr>
        <w:t xml:space="preserve">eur </w:t>
      </w:r>
      <w:r w:rsidR="009633C8" w:rsidRPr="0048373F">
        <w:rPr>
          <w:rFonts w:cs="Calibri"/>
          <w:color w:val="000000" w:themeColor="text1"/>
        </w:rPr>
        <w:t>i otplata beskamatnog zajma po osnovi pada prihoda u 2020</w:t>
      </w:r>
      <w:r w:rsidR="000403CB">
        <w:rPr>
          <w:rFonts w:cs="Calibri"/>
          <w:color w:val="000000" w:themeColor="text1"/>
        </w:rPr>
        <w:t>.</w:t>
      </w:r>
      <w:r w:rsidR="009633C8" w:rsidRPr="0048373F">
        <w:rPr>
          <w:rFonts w:cs="Calibri"/>
          <w:color w:val="000000" w:themeColor="text1"/>
        </w:rPr>
        <w:t xml:space="preserve"> u odnosu na 2019</w:t>
      </w:r>
      <w:r w:rsidR="000403CB">
        <w:rPr>
          <w:rFonts w:cs="Calibri"/>
          <w:color w:val="000000" w:themeColor="text1"/>
        </w:rPr>
        <w:t>.</w:t>
      </w:r>
      <w:r w:rsidR="0014514B" w:rsidRPr="0048373F">
        <w:rPr>
          <w:rFonts w:cs="Calibri"/>
          <w:color w:val="000000" w:themeColor="text1"/>
        </w:rPr>
        <w:t xml:space="preserve"> u iznosu od 915.787</w:t>
      </w:r>
      <w:r w:rsidR="00DA4F2B" w:rsidRPr="0048373F">
        <w:rPr>
          <w:rFonts w:cs="Calibri"/>
          <w:color w:val="000000" w:themeColor="text1"/>
        </w:rPr>
        <w:t>,00</w:t>
      </w:r>
      <w:r w:rsidR="00B8193B">
        <w:rPr>
          <w:rFonts w:cs="Calibri"/>
          <w:color w:val="000000" w:themeColor="text1"/>
        </w:rPr>
        <w:t xml:space="preserve"> eur</w:t>
      </w:r>
      <w:r w:rsidR="00DA4F2B" w:rsidRPr="0048373F">
        <w:rPr>
          <w:rFonts w:cs="Calibri"/>
          <w:color w:val="000000" w:themeColor="text1"/>
        </w:rPr>
        <w:t>. Projekcijom</w:t>
      </w:r>
      <w:r w:rsidR="009633C8" w:rsidRPr="0048373F">
        <w:rPr>
          <w:rFonts w:cs="Calibri"/>
          <w:color w:val="000000" w:themeColor="text1"/>
        </w:rPr>
        <w:t xml:space="preserve"> za 2024. planira se otpl</w:t>
      </w:r>
      <w:r w:rsidRPr="0048373F">
        <w:rPr>
          <w:rFonts w:cs="Calibri"/>
          <w:color w:val="000000" w:themeColor="text1"/>
        </w:rPr>
        <w:t>ata beskamatnog zajma u cijelosti odnosno</w:t>
      </w:r>
      <w:r w:rsidR="009633C8" w:rsidRPr="0048373F">
        <w:rPr>
          <w:rFonts w:cs="Calibri"/>
          <w:color w:val="000000" w:themeColor="text1"/>
        </w:rPr>
        <w:t xml:space="preserve"> zajma po osnovu pada prihoda u 2021. u odnosu na 2019. u iznosu od 889.243,00 eur.</w:t>
      </w:r>
    </w:p>
    <w:p w:rsidR="0048373F" w:rsidRDefault="0048373F" w:rsidP="000403CB">
      <w:pPr>
        <w:pStyle w:val="NoSpacing"/>
        <w:shd w:val="clear" w:color="auto" w:fill="FFFFFF"/>
        <w:spacing w:line="276" w:lineRule="auto"/>
        <w:jc w:val="both"/>
        <w:rPr>
          <w:rFonts w:cs="Calibri"/>
          <w:color w:val="000000" w:themeColor="text1"/>
        </w:rPr>
      </w:pPr>
      <w:r>
        <w:rPr>
          <w:rFonts w:cs="Calibri"/>
          <w:color w:val="000000" w:themeColor="text1"/>
        </w:rPr>
        <w:t xml:space="preserve">U sklopu aktivnosti </w:t>
      </w:r>
      <w:r w:rsidRPr="0048373F">
        <w:rPr>
          <w:rFonts w:cs="Calibri"/>
          <w:b/>
          <w:color w:val="000000" w:themeColor="text1"/>
        </w:rPr>
        <w:t>Jamstvena zaliha</w:t>
      </w:r>
      <w:r>
        <w:rPr>
          <w:rFonts w:cs="Calibri"/>
          <w:color w:val="000000" w:themeColor="text1"/>
        </w:rPr>
        <w:t xml:space="preserve"> osigurana su</w:t>
      </w:r>
      <w:r w:rsidR="005064EE">
        <w:rPr>
          <w:rFonts w:cs="Calibri"/>
          <w:color w:val="000000" w:themeColor="text1"/>
        </w:rPr>
        <w:t xml:space="preserve"> sredstva u slučaju protestiranja danih jamstava Županije</w:t>
      </w:r>
      <w:r>
        <w:rPr>
          <w:rFonts w:cs="Calibri"/>
          <w:color w:val="000000" w:themeColor="text1"/>
        </w:rPr>
        <w:t>.</w:t>
      </w:r>
    </w:p>
    <w:p w:rsidR="00787DDB" w:rsidRDefault="00787DDB" w:rsidP="000403CB">
      <w:pPr>
        <w:pStyle w:val="NoSpacing"/>
        <w:shd w:val="clear" w:color="auto" w:fill="FFFFFF"/>
        <w:spacing w:line="276" w:lineRule="auto"/>
        <w:jc w:val="both"/>
        <w:rPr>
          <w:rFonts w:asciiTheme="minorHAnsi" w:hAnsiTheme="minorHAnsi" w:cstheme="minorHAnsi"/>
          <w:b/>
        </w:rPr>
      </w:pPr>
    </w:p>
    <w:p w:rsidR="00AE1A1F" w:rsidRDefault="0048373F" w:rsidP="000403CB">
      <w:pPr>
        <w:pStyle w:val="NoSpacing"/>
        <w:shd w:val="clear" w:color="auto" w:fill="FFFFFF"/>
        <w:spacing w:line="276" w:lineRule="auto"/>
        <w:jc w:val="both"/>
        <w:rPr>
          <w:rFonts w:asciiTheme="minorHAnsi" w:hAnsiTheme="minorHAnsi" w:cstheme="minorHAnsi"/>
        </w:rPr>
      </w:pPr>
      <w:r>
        <w:rPr>
          <w:rFonts w:asciiTheme="minorHAnsi" w:hAnsiTheme="minorHAnsi" w:cstheme="minorHAnsi"/>
          <w:b/>
        </w:rPr>
        <w:t>R</w:t>
      </w:r>
      <w:r w:rsidR="00B343C0" w:rsidRPr="00846A7C">
        <w:rPr>
          <w:rFonts w:asciiTheme="minorHAnsi" w:hAnsiTheme="minorHAnsi" w:cstheme="minorHAnsi"/>
          <w:b/>
        </w:rPr>
        <w:t>AZLOG ODSTUPANJA OD PROŠLOGODIŠNJIH PROJEKCIJA</w:t>
      </w:r>
      <w:r w:rsidR="00B343C0" w:rsidRPr="00846A7C">
        <w:rPr>
          <w:rFonts w:asciiTheme="minorHAnsi" w:hAnsiTheme="minorHAnsi" w:cstheme="minorHAnsi"/>
        </w:rPr>
        <w:t>:</w:t>
      </w:r>
    </w:p>
    <w:p w:rsidR="00801715" w:rsidRPr="00846A7C" w:rsidRDefault="00801715" w:rsidP="000403CB">
      <w:pPr>
        <w:pStyle w:val="NoSpacing"/>
        <w:shd w:val="clear" w:color="auto" w:fill="FFFFFF"/>
        <w:spacing w:line="276" w:lineRule="auto"/>
        <w:jc w:val="both"/>
        <w:rPr>
          <w:rFonts w:asciiTheme="minorHAnsi" w:hAnsiTheme="minorHAnsi" w:cstheme="minorHAnsi"/>
          <w:i/>
        </w:rPr>
      </w:pPr>
      <w:r>
        <w:rPr>
          <w:rFonts w:asciiTheme="minorHAnsi" w:hAnsiTheme="minorHAnsi" w:cstheme="minorHAnsi"/>
        </w:rPr>
        <w:t>U odnosu na prošlogodišnju projekciju sredstva planirana u sklopu ovog progr</w:t>
      </w:r>
      <w:r w:rsidR="00D736B6">
        <w:rPr>
          <w:rFonts w:asciiTheme="minorHAnsi" w:hAnsiTheme="minorHAnsi" w:cstheme="minorHAnsi"/>
        </w:rPr>
        <w:t>ama po</w:t>
      </w:r>
      <w:r w:rsidR="005D0378">
        <w:rPr>
          <w:rFonts w:asciiTheme="minorHAnsi" w:hAnsiTheme="minorHAnsi" w:cstheme="minorHAnsi"/>
        </w:rPr>
        <w:t>već</w:t>
      </w:r>
      <w:r>
        <w:rPr>
          <w:rFonts w:asciiTheme="minorHAnsi" w:hAnsiTheme="minorHAnsi" w:cstheme="minorHAnsi"/>
        </w:rPr>
        <w:t xml:space="preserve">ana su za 996.048,00 eur sto je rezultat planiranih sredstava u sklopu aktivnosti </w:t>
      </w:r>
      <w:r w:rsidR="005D0378">
        <w:rPr>
          <w:rFonts w:asciiTheme="minorHAnsi" w:hAnsiTheme="minorHAnsi" w:cstheme="minorHAnsi"/>
        </w:rPr>
        <w:t>Redovni rashodi za zaposlene, Re</w:t>
      </w:r>
      <w:r>
        <w:rPr>
          <w:rFonts w:asciiTheme="minorHAnsi" w:hAnsiTheme="minorHAnsi" w:cstheme="minorHAnsi"/>
        </w:rPr>
        <w:t>dovni rashodi za zaposlene – UDU i Ostali rashodi za zaposlene u iznosu od 611.822,00 zbog već spomenutoga planiranog povećanja plaća, doprinosa i ostalih naknada za zaposlene. Povećava se i Otplata beskamatnog zajma u iznosu od 371.624,00 eur jer dio otplate</w:t>
      </w:r>
      <w:r w:rsidR="005064EE">
        <w:rPr>
          <w:rFonts w:asciiTheme="minorHAnsi" w:hAnsiTheme="minorHAnsi" w:cstheme="minorHAnsi"/>
        </w:rPr>
        <w:t xml:space="preserve"> koji je bio</w:t>
      </w:r>
      <w:r>
        <w:rPr>
          <w:rFonts w:asciiTheme="minorHAnsi" w:hAnsiTheme="minorHAnsi" w:cstheme="minorHAnsi"/>
        </w:rPr>
        <w:t xml:space="preserve"> planiran u 20</w:t>
      </w:r>
      <w:r w:rsidR="00D736B6">
        <w:rPr>
          <w:rFonts w:asciiTheme="minorHAnsi" w:hAnsiTheme="minorHAnsi" w:cstheme="minorHAnsi"/>
        </w:rPr>
        <w:t>22</w:t>
      </w:r>
      <w:r w:rsidR="005064EE">
        <w:rPr>
          <w:rFonts w:asciiTheme="minorHAnsi" w:hAnsiTheme="minorHAnsi" w:cstheme="minorHAnsi"/>
        </w:rPr>
        <w:t xml:space="preserve"> otplatiti ce se u 2023.</w:t>
      </w:r>
      <w:r w:rsidR="00D736B6">
        <w:rPr>
          <w:rFonts w:asciiTheme="minorHAnsi" w:hAnsiTheme="minorHAnsi" w:cstheme="minorHAnsi"/>
        </w:rPr>
        <w:t>. Isto tako osigurava se Jamstvena zaliha u iznosu od 132.722,00 zbog moguće naplate županijskog jamstva.</w:t>
      </w:r>
      <w:r w:rsidR="005064EE">
        <w:rPr>
          <w:rFonts w:asciiTheme="minorHAnsi" w:hAnsiTheme="minorHAnsi" w:cstheme="minorHAnsi"/>
        </w:rPr>
        <w:t xml:space="preserve"> Financijski rashodi i naknade za naplatu poreza povećavaju se za 29.868,00 eur zbo</w:t>
      </w:r>
      <w:r w:rsidR="005D0378">
        <w:rPr>
          <w:rFonts w:asciiTheme="minorHAnsi" w:hAnsiTheme="minorHAnsi" w:cstheme="minorHAnsi"/>
        </w:rPr>
        <w:t xml:space="preserve">g povećanog prihoda od naplate </w:t>
      </w:r>
      <w:r w:rsidR="005064EE">
        <w:rPr>
          <w:rFonts w:asciiTheme="minorHAnsi" w:hAnsiTheme="minorHAnsi" w:cstheme="minorHAnsi"/>
        </w:rPr>
        <w:t>poreza na dohodak i ostalih županijskih poreza.</w:t>
      </w:r>
    </w:p>
    <w:p w:rsidR="003263F3" w:rsidRPr="00846A7C" w:rsidRDefault="003263F3" w:rsidP="000403CB">
      <w:pPr>
        <w:pStyle w:val="NoSpacing"/>
        <w:spacing w:line="276" w:lineRule="auto"/>
        <w:jc w:val="both"/>
        <w:rPr>
          <w:rFonts w:asciiTheme="minorHAnsi" w:hAnsiTheme="minorHAnsi" w:cstheme="minorHAnsi"/>
          <w:b/>
        </w:rPr>
      </w:pPr>
    </w:p>
    <w:p w:rsidR="00CB37DA" w:rsidRPr="00846A7C" w:rsidRDefault="00CB37DA" w:rsidP="000403CB">
      <w:pPr>
        <w:pStyle w:val="NoSpacing"/>
        <w:spacing w:line="276" w:lineRule="auto"/>
        <w:jc w:val="both"/>
        <w:rPr>
          <w:rFonts w:asciiTheme="minorHAnsi" w:eastAsiaTheme="minorHAnsi" w:hAnsiTheme="minorHAnsi" w:cstheme="minorHAnsi"/>
          <w:b/>
          <w:bCs/>
          <w:u w:val="single"/>
        </w:rPr>
      </w:pPr>
      <w:r w:rsidRPr="00846A7C">
        <w:rPr>
          <w:rFonts w:asciiTheme="minorHAnsi" w:hAnsiTheme="minorHAnsi" w:cstheme="minorHAnsi"/>
          <w:b/>
          <w:u w:val="single"/>
        </w:rPr>
        <w:t>NAZIV PROGRAMA</w:t>
      </w:r>
      <w:r w:rsidR="00952E13" w:rsidRPr="00846A7C">
        <w:rPr>
          <w:rFonts w:asciiTheme="minorHAnsi" w:hAnsiTheme="minorHAnsi" w:cstheme="minorHAnsi"/>
          <w:b/>
          <w:u w:val="single"/>
        </w:rPr>
        <w:t xml:space="preserve"> </w:t>
      </w:r>
      <w:r w:rsidRPr="00846A7C">
        <w:rPr>
          <w:rFonts w:asciiTheme="minorHAnsi" w:hAnsiTheme="minorHAnsi" w:cstheme="minorHAnsi"/>
          <w:b/>
          <w:u w:val="single"/>
        </w:rPr>
        <w:t xml:space="preserve">: </w:t>
      </w:r>
      <w:r w:rsidR="005064EE">
        <w:rPr>
          <w:rFonts w:asciiTheme="minorHAnsi" w:hAnsiTheme="minorHAnsi" w:cstheme="minorHAnsi"/>
          <w:b/>
          <w:u w:val="single"/>
        </w:rPr>
        <w:t>1601 PRORAČUNSKA ZALIHA</w:t>
      </w:r>
    </w:p>
    <w:p w:rsidR="00CB37DA" w:rsidRPr="00846A7C" w:rsidRDefault="00CB37DA" w:rsidP="000403CB">
      <w:pPr>
        <w:pStyle w:val="NoSpacing"/>
        <w:spacing w:line="276" w:lineRule="auto"/>
        <w:jc w:val="both"/>
        <w:rPr>
          <w:rFonts w:asciiTheme="minorHAnsi" w:hAnsiTheme="minorHAnsi" w:cstheme="minorHAnsi"/>
          <w:b/>
        </w:rPr>
      </w:pPr>
    </w:p>
    <w:p w:rsidR="00CB37DA" w:rsidRPr="00846A7C" w:rsidRDefault="00CB37DA" w:rsidP="000403CB">
      <w:pPr>
        <w:pStyle w:val="NoSpacing"/>
        <w:shd w:val="clear" w:color="auto" w:fill="FFFFFF"/>
        <w:spacing w:line="276" w:lineRule="auto"/>
        <w:jc w:val="both"/>
        <w:rPr>
          <w:rFonts w:asciiTheme="minorHAnsi" w:hAnsiTheme="minorHAnsi" w:cstheme="minorHAnsi"/>
          <w:bCs/>
        </w:rPr>
      </w:pPr>
      <w:r w:rsidRPr="00846A7C">
        <w:rPr>
          <w:rFonts w:asciiTheme="minorHAnsi" w:hAnsiTheme="minorHAnsi" w:cstheme="minorHAnsi"/>
          <w:b/>
        </w:rPr>
        <w:t>OPĆI CILJ:</w:t>
      </w:r>
    </w:p>
    <w:p w:rsidR="00220478" w:rsidRPr="00220478" w:rsidRDefault="00220478" w:rsidP="000403CB">
      <w:pPr>
        <w:pStyle w:val="NoSpacing"/>
        <w:spacing w:line="276" w:lineRule="auto"/>
        <w:jc w:val="both"/>
        <w:rPr>
          <w:rFonts w:cs="Calibri"/>
          <w:color w:val="000000" w:themeColor="text1"/>
        </w:rPr>
      </w:pPr>
      <w:r w:rsidRPr="00220478">
        <w:rPr>
          <w:rFonts w:cs="Calibri"/>
          <w:color w:val="000000" w:themeColor="text1"/>
        </w:rPr>
        <w:t xml:space="preserve">Sukladno članku 56. Zakona o proračunu, u proračunu se utvrđuju sredstva za proračunsku zalihu. Sredstva proračunske zalihe koriste se za nepredviđene namjene, za koje u proračunu nisu osigurana sredstva ili za namjene za koje se tijekom godine pokaže da za njih nisu utvrđena dovoljna sredstva jer ih pri planiranju proračuna nije bilo moguće predvidjeti. Sredstva proračunske zalihe koriste se za financiranje rashoda nastalih pri otklanjanju posljedica elementarnih nepogoda, epidemija, ekoloških nesreća ili izvanrednih događaja i ostalih nepredvidivih nesreća, te za druge nepredviđene rashode </w:t>
      </w:r>
      <w:r w:rsidRPr="00220478">
        <w:rPr>
          <w:rFonts w:cs="Calibri"/>
          <w:color w:val="000000" w:themeColor="text1"/>
        </w:rPr>
        <w:lastRenderedPageBreak/>
        <w:t>tijekom godine. Sredstva proračunske zalihe mogu iznositi najviše 0,5% planiranih proračunskih prihoda bez primitaka. Visina sredstava proračunske zalihe utvrđuje se Odlukom o izvršavanju proračuna.</w:t>
      </w:r>
    </w:p>
    <w:p w:rsidR="00417976" w:rsidRPr="00846A7C" w:rsidRDefault="00417976" w:rsidP="000403CB">
      <w:pPr>
        <w:pStyle w:val="NoSpacing"/>
        <w:shd w:val="clear" w:color="auto" w:fill="FFFFFF"/>
        <w:spacing w:line="276" w:lineRule="auto"/>
        <w:jc w:val="both"/>
        <w:rPr>
          <w:rFonts w:asciiTheme="minorHAnsi" w:hAnsiTheme="minorHAnsi" w:cstheme="minorHAnsi"/>
          <w:bCs/>
        </w:rPr>
      </w:pPr>
    </w:p>
    <w:p w:rsidR="00CB37DA" w:rsidRPr="00846A7C" w:rsidRDefault="00CB37DA" w:rsidP="000403CB">
      <w:pPr>
        <w:pStyle w:val="NoSpacing"/>
        <w:shd w:val="clear" w:color="auto" w:fill="FFFFFF"/>
        <w:spacing w:line="276" w:lineRule="auto"/>
        <w:jc w:val="both"/>
        <w:rPr>
          <w:rFonts w:asciiTheme="minorHAnsi" w:hAnsiTheme="minorHAnsi" w:cstheme="minorHAnsi"/>
          <w:i/>
        </w:rPr>
      </w:pPr>
      <w:r w:rsidRPr="00846A7C">
        <w:rPr>
          <w:rFonts w:asciiTheme="minorHAnsi" w:hAnsiTheme="minorHAnsi" w:cstheme="minorHAnsi"/>
          <w:b/>
        </w:rPr>
        <w:t>POSEBNI CILJ:</w:t>
      </w:r>
    </w:p>
    <w:p w:rsidR="00CB37DA" w:rsidRDefault="00220478" w:rsidP="000403CB">
      <w:pPr>
        <w:pStyle w:val="NoSpacing"/>
        <w:shd w:val="clear" w:color="auto" w:fill="FFFFFF"/>
        <w:spacing w:line="276" w:lineRule="auto"/>
        <w:jc w:val="both"/>
        <w:rPr>
          <w:rFonts w:cs="Calibri"/>
          <w:color w:val="000000" w:themeColor="text1"/>
        </w:rPr>
      </w:pPr>
      <w:r w:rsidRPr="00220478">
        <w:rPr>
          <w:rFonts w:cs="Calibri"/>
          <w:color w:val="000000" w:themeColor="text1"/>
        </w:rPr>
        <w:t>Izvještavati redovno Skupštinu Županije o izvršenim rashodima u zakonskim rokovima</w:t>
      </w:r>
      <w:r>
        <w:rPr>
          <w:rFonts w:cs="Calibri"/>
          <w:color w:val="000000" w:themeColor="text1"/>
        </w:rPr>
        <w:t>.</w:t>
      </w:r>
    </w:p>
    <w:p w:rsidR="00220478" w:rsidRPr="00220478" w:rsidRDefault="00220478" w:rsidP="000403CB">
      <w:pPr>
        <w:pStyle w:val="NoSpacing"/>
        <w:shd w:val="clear" w:color="auto" w:fill="FFFFFF"/>
        <w:spacing w:line="276" w:lineRule="auto"/>
        <w:jc w:val="both"/>
        <w:rPr>
          <w:rFonts w:asciiTheme="minorHAnsi" w:hAnsiTheme="minorHAnsi" w:cstheme="minorHAnsi"/>
        </w:rPr>
      </w:pPr>
    </w:p>
    <w:p w:rsidR="00B96655" w:rsidRPr="00B96655" w:rsidRDefault="00B96655" w:rsidP="000403CB">
      <w:pPr>
        <w:pStyle w:val="NoSpacing"/>
        <w:spacing w:line="276" w:lineRule="auto"/>
        <w:jc w:val="both"/>
        <w:rPr>
          <w:rFonts w:asciiTheme="minorHAnsi" w:hAnsiTheme="minorHAnsi" w:cstheme="minorHAnsi"/>
          <w:b/>
        </w:rPr>
      </w:pPr>
      <w:r w:rsidRPr="00B96655">
        <w:rPr>
          <w:rFonts w:asciiTheme="minorHAnsi" w:hAnsiTheme="minorHAnsi" w:cstheme="minorHAnsi"/>
          <w:b/>
        </w:rPr>
        <w:t>POVEZANOST PROGRAMA SA STRATEŠKIM DOKUMENTIMA:</w:t>
      </w:r>
    </w:p>
    <w:p w:rsidR="00B96655" w:rsidRDefault="00220478" w:rsidP="000403CB">
      <w:pPr>
        <w:pStyle w:val="NoSpacing"/>
        <w:spacing w:line="276" w:lineRule="auto"/>
        <w:jc w:val="both"/>
        <w:rPr>
          <w:rFonts w:asciiTheme="minorHAnsi" w:hAnsiTheme="minorHAnsi" w:cstheme="minorHAnsi"/>
        </w:rPr>
      </w:pPr>
      <w:r w:rsidRPr="00220478">
        <w:rPr>
          <w:rFonts w:asciiTheme="minorHAnsi" w:hAnsiTheme="minorHAnsi" w:cstheme="minorHAnsi"/>
        </w:rPr>
        <w:t>Ovaj program ne doprinosi izravno ostvarenju posebnih ciljeva iz strateškog okvira Plana razvoja Dubrovačko-neretvanske županije do 2027 i kroz Provedbeni program Dubrovačko-neretvanske županije za razdoblje 2021.-2025. godine nema poveznicu s posebnom mjerom.</w:t>
      </w:r>
    </w:p>
    <w:p w:rsidR="00220478" w:rsidRPr="00220478" w:rsidRDefault="00220478" w:rsidP="000403CB">
      <w:pPr>
        <w:pStyle w:val="NoSpacing"/>
        <w:spacing w:line="276" w:lineRule="auto"/>
        <w:jc w:val="both"/>
        <w:rPr>
          <w:rFonts w:asciiTheme="minorHAnsi" w:hAnsiTheme="minorHAnsi" w:cstheme="minorHAnsi"/>
        </w:rPr>
      </w:pPr>
    </w:p>
    <w:p w:rsidR="005700E1" w:rsidRPr="00846A7C" w:rsidRDefault="00CB37DA" w:rsidP="000403CB">
      <w:pPr>
        <w:pStyle w:val="NoSpacing"/>
        <w:spacing w:line="276" w:lineRule="auto"/>
        <w:jc w:val="both"/>
        <w:rPr>
          <w:rFonts w:asciiTheme="minorHAnsi" w:hAnsiTheme="minorHAnsi" w:cstheme="minorHAnsi"/>
          <w:i/>
        </w:rPr>
      </w:pPr>
      <w:r w:rsidRPr="00846A7C">
        <w:rPr>
          <w:rFonts w:asciiTheme="minorHAnsi" w:hAnsiTheme="minorHAnsi" w:cstheme="minorHAnsi"/>
          <w:b/>
        </w:rPr>
        <w:t>ZAKONSKE I DRUGE PODLOGE NA KOJIMA SE PROGRAM ZASNIVA</w:t>
      </w:r>
      <w:r w:rsidRPr="00846A7C">
        <w:rPr>
          <w:rFonts w:asciiTheme="minorHAnsi" w:hAnsiTheme="minorHAnsi" w:cstheme="minorHAnsi"/>
        </w:rPr>
        <w:t>:</w:t>
      </w:r>
    </w:p>
    <w:p w:rsidR="005700E1" w:rsidRDefault="00220478" w:rsidP="000403CB">
      <w:pPr>
        <w:pStyle w:val="NoSpacing"/>
        <w:shd w:val="clear" w:color="auto" w:fill="FFFFFF"/>
        <w:spacing w:line="276" w:lineRule="auto"/>
        <w:jc w:val="both"/>
        <w:rPr>
          <w:rFonts w:cs="Calibri"/>
          <w:color w:val="000000" w:themeColor="text1"/>
        </w:rPr>
      </w:pPr>
      <w:r w:rsidRPr="00220478">
        <w:rPr>
          <w:rFonts w:cs="Calibri"/>
          <w:color w:val="000000" w:themeColor="text1"/>
        </w:rPr>
        <w:t>Zakon o proračunu i Odluka o izvršavanju proračuna Dubrovačko-neretvanske županije</w:t>
      </w:r>
    </w:p>
    <w:p w:rsidR="00220478" w:rsidRPr="00220478" w:rsidRDefault="00220478" w:rsidP="000403CB">
      <w:pPr>
        <w:pStyle w:val="NoSpacing"/>
        <w:shd w:val="clear" w:color="auto" w:fill="FFFFFF"/>
        <w:spacing w:line="276" w:lineRule="auto"/>
        <w:jc w:val="both"/>
        <w:rPr>
          <w:rFonts w:asciiTheme="minorHAnsi" w:hAnsiTheme="minorHAnsi" w:cstheme="minorHAnsi"/>
          <w:bCs/>
          <w:i/>
        </w:rPr>
      </w:pPr>
    </w:p>
    <w:p w:rsidR="005700E1"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 xml:space="preserve">NOSITELJ AKTIVNOSTI: </w:t>
      </w:r>
      <w:r w:rsidR="00220478" w:rsidRPr="00220478">
        <w:rPr>
          <w:rFonts w:asciiTheme="minorHAnsi" w:hAnsiTheme="minorHAnsi" w:cstheme="minorHAnsi"/>
        </w:rPr>
        <w:t>Dubrovačko-neretvanska županija</w:t>
      </w:r>
    </w:p>
    <w:p w:rsidR="005700E1" w:rsidRPr="00846A7C" w:rsidRDefault="005700E1" w:rsidP="000403CB">
      <w:pPr>
        <w:pStyle w:val="NoSpacing"/>
        <w:shd w:val="clear" w:color="auto" w:fill="FFFFFF"/>
        <w:tabs>
          <w:tab w:val="left" w:pos="1643"/>
        </w:tabs>
        <w:spacing w:line="276" w:lineRule="auto"/>
        <w:jc w:val="both"/>
        <w:rPr>
          <w:rFonts w:asciiTheme="minorHAnsi" w:hAnsiTheme="minorHAnsi" w:cstheme="minorHAnsi"/>
          <w:b/>
        </w:rPr>
      </w:pPr>
    </w:p>
    <w:p w:rsidR="005700E1" w:rsidRDefault="00CB37DA" w:rsidP="000403CB">
      <w:pPr>
        <w:pStyle w:val="NoSpacing"/>
        <w:spacing w:line="276" w:lineRule="auto"/>
        <w:jc w:val="both"/>
        <w:rPr>
          <w:rFonts w:asciiTheme="minorHAnsi" w:hAnsiTheme="minorHAnsi" w:cstheme="minorHAnsi"/>
        </w:rPr>
      </w:pPr>
      <w:r w:rsidRPr="00846A7C">
        <w:rPr>
          <w:rFonts w:asciiTheme="minorHAnsi" w:hAnsiTheme="minorHAnsi" w:cstheme="minorHAnsi"/>
          <w:b/>
        </w:rPr>
        <w:t>ISHODIŠTE I POKAZATELJI NA KOJIMA SE ZASNIVAJU IZRAČUNI I OCJENE</w:t>
      </w:r>
      <w:r w:rsidRPr="00846A7C">
        <w:rPr>
          <w:rFonts w:asciiTheme="minorHAnsi" w:hAnsiTheme="minorHAnsi" w:cstheme="minorHAnsi"/>
        </w:rPr>
        <w:t xml:space="preserve"> </w:t>
      </w:r>
      <w:r w:rsidRPr="00846A7C">
        <w:rPr>
          <w:rFonts w:asciiTheme="minorHAnsi" w:hAnsiTheme="minorHAnsi" w:cstheme="minorHAnsi"/>
          <w:b/>
        </w:rPr>
        <w:t>POTREBNIH SREDSTAVA ZA PROVOĐENJE PROGRAMA:</w:t>
      </w:r>
    </w:p>
    <w:p w:rsidR="00224EFC" w:rsidRPr="00224EFC" w:rsidRDefault="00224EFC" w:rsidP="000403CB">
      <w:pPr>
        <w:pStyle w:val="NoSpacing"/>
        <w:spacing w:line="276" w:lineRule="auto"/>
        <w:jc w:val="both"/>
        <w:rPr>
          <w:rFonts w:asciiTheme="minorHAnsi" w:hAnsiTheme="minorHAnsi" w:cstheme="minorHAnsi"/>
        </w:rPr>
      </w:pPr>
      <w:r w:rsidRPr="00224EFC">
        <w:rPr>
          <w:rFonts w:cs="Calibri"/>
          <w:color w:val="000000" w:themeColor="text1"/>
        </w:rPr>
        <w:t>U okviru ove aktivnosti planiraju se sredstva  do visine 0,5 posto planiranih prihoda proračuna bez primitaka</w:t>
      </w:r>
    </w:p>
    <w:p w:rsidR="00CB37DA" w:rsidRPr="00846A7C" w:rsidRDefault="00CB37DA" w:rsidP="000403CB">
      <w:pPr>
        <w:pStyle w:val="NoSpacing"/>
        <w:shd w:val="clear" w:color="auto" w:fill="FFFFFF"/>
        <w:spacing w:line="276" w:lineRule="auto"/>
        <w:jc w:val="both"/>
        <w:rPr>
          <w:rFonts w:asciiTheme="minorHAnsi" w:hAnsiTheme="minorHAnsi" w:cstheme="minorHAnsi"/>
        </w:rPr>
      </w:pPr>
    </w:p>
    <w:p w:rsidR="00CB37DA" w:rsidRDefault="00CB37DA" w:rsidP="000403CB">
      <w:pPr>
        <w:pStyle w:val="NoSpacing"/>
        <w:shd w:val="clear" w:color="auto" w:fill="FFFFFF"/>
        <w:spacing w:line="276" w:lineRule="auto"/>
        <w:jc w:val="both"/>
        <w:rPr>
          <w:rFonts w:asciiTheme="minorHAnsi" w:hAnsiTheme="minorHAnsi" w:cstheme="minorHAnsi"/>
        </w:rPr>
      </w:pPr>
      <w:r w:rsidRPr="00846A7C">
        <w:rPr>
          <w:rFonts w:asciiTheme="minorHAnsi" w:hAnsiTheme="minorHAnsi" w:cstheme="minorHAnsi"/>
          <w:b/>
        </w:rPr>
        <w:t>IZVJEŠTAJ O POSTIGNUTIM CILJEVIMA I REZULTATIMA PROGRAMA TEMELJENIM NA POKAZATELJIMA USPJEŠNOSTI U PRETHODNOJ GODINI</w:t>
      </w:r>
    </w:p>
    <w:p w:rsidR="00CB37DA" w:rsidRPr="00DC769A" w:rsidRDefault="00224EFC" w:rsidP="000403CB">
      <w:pPr>
        <w:pStyle w:val="NoSpacing"/>
        <w:shd w:val="clear" w:color="auto" w:fill="FFFFFF"/>
        <w:spacing w:line="276" w:lineRule="auto"/>
        <w:jc w:val="both"/>
        <w:rPr>
          <w:rFonts w:asciiTheme="minorHAnsi" w:hAnsiTheme="minorHAnsi" w:cstheme="minorHAnsi"/>
          <w:i/>
        </w:rPr>
      </w:pPr>
      <w:r w:rsidRPr="00224EFC">
        <w:rPr>
          <w:rFonts w:cs="Calibri"/>
          <w:color w:val="000000" w:themeColor="text1"/>
        </w:rPr>
        <w:t>Svi planirani ciljevi iz prethodne godine su postignuti</w:t>
      </w:r>
    </w:p>
    <w:p w:rsidR="00CB37DA" w:rsidRPr="00846A7C" w:rsidRDefault="00CB37DA" w:rsidP="000403CB">
      <w:pPr>
        <w:pStyle w:val="NoSpacing"/>
        <w:shd w:val="clear" w:color="auto" w:fill="FFFFFF"/>
        <w:spacing w:line="276" w:lineRule="auto"/>
        <w:jc w:val="both"/>
        <w:rPr>
          <w:rFonts w:asciiTheme="minorHAnsi" w:hAnsiTheme="minorHAnsi" w:cstheme="minorHAnsi"/>
          <w:b/>
          <w:color w:val="FF0000"/>
        </w:rPr>
      </w:pPr>
      <w:r w:rsidRPr="00846A7C">
        <w:rPr>
          <w:rFonts w:asciiTheme="minorHAnsi" w:hAnsiTheme="minorHAnsi" w:cstheme="minorHAnsi"/>
          <w:b/>
        </w:rPr>
        <w:t>NAČIN I SREDSTVA ZA REALIZACIJU PROGRAMA:</w:t>
      </w:r>
      <w:r w:rsidR="00B8193B">
        <w:rPr>
          <w:rFonts w:asciiTheme="minorHAnsi" w:hAnsiTheme="minorHAnsi" w:cstheme="minorHAnsi"/>
          <w:b/>
        </w:rPr>
        <w:t xml:space="preserve"> 1601 Proračunska zaliha</w:t>
      </w:r>
    </w:p>
    <w:tbl>
      <w:tblPr>
        <w:tblStyle w:val="TableGrid"/>
        <w:tblW w:w="0" w:type="auto"/>
        <w:tblLook w:val="04A0"/>
      </w:tblPr>
      <w:tblGrid>
        <w:gridCol w:w="658"/>
        <w:gridCol w:w="4787"/>
        <w:gridCol w:w="1113"/>
        <w:gridCol w:w="1240"/>
        <w:gridCol w:w="1207"/>
      </w:tblGrid>
      <w:tr w:rsidR="004366B0" w:rsidRPr="00846A7C" w:rsidTr="000403CB">
        <w:trPr>
          <w:trHeight w:val="220"/>
        </w:trPr>
        <w:tc>
          <w:tcPr>
            <w:tcW w:w="658" w:type="dxa"/>
            <w:shd w:val="clear" w:color="auto" w:fill="F2F2F2" w:themeFill="background1" w:themeFillShade="F2"/>
          </w:tcPr>
          <w:p w:rsidR="00CB37DA" w:rsidRPr="00846A7C"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Rb</w:t>
            </w:r>
          </w:p>
        </w:tc>
        <w:tc>
          <w:tcPr>
            <w:tcW w:w="4787" w:type="dxa"/>
            <w:shd w:val="clear" w:color="auto" w:fill="F2F2F2" w:themeFill="background1" w:themeFillShade="F2"/>
          </w:tcPr>
          <w:p w:rsidR="00CB37DA" w:rsidRPr="00846A7C"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Naziv aktivnosti / projekta</w:t>
            </w:r>
          </w:p>
        </w:tc>
        <w:tc>
          <w:tcPr>
            <w:tcW w:w="1113" w:type="dxa"/>
            <w:shd w:val="clear" w:color="auto" w:fill="F2F2F2" w:themeFill="background1" w:themeFillShade="F2"/>
          </w:tcPr>
          <w:p w:rsidR="00CB37DA" w:rsidRPr="00846A7C"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3</w:t>
            </w:r>
            <w:r w:rsidRPr="00846A7C">
              <w:rPr>
                <w:rFonts w:asciiTheme="minorHAnsi" w:hAnsiTheme="minorHAnsi" w:cstheme="minorHAnsi"/>
                <w:b/>
              </w:rPr>
              <w:t>.</w:t>
            </w:r>
          </w:p>
        </w:tc>
        <w:tc>
          <w:tcPr>
            <w:tcW w:w="1240" w:type="dxa"/>
            <w:shd w:val="clear" w:color="auto" w:fill="F2F2F2" w:themeFill="background1" w:themeFillShade="F2"/>
          </w:tcPr>
          <w:p w:rsidR="00CB37DA" w:rsidRPr="00846A7C"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4</w:t>
            </w:r>
          </w:p>
        </w:tc>
        <w:tc>
          <w:tcPr>
            <w:tcW w:w="1207" w:type="dxa"/>
            <w:shd w:val="clear" w:color="auto" w:fill="F2F2F2" w:themeFill="background1" w:themeFillShade="F2"/>
          </w:tcPr>
          <w:p w:rsidR="00CB37DA" w:rsidRPr="00846A7C" w:rsidRDefault="00CB37DA" w:rsidP="000403CB">
            <w:pPr>
              <w:pStyle w:val="NoSpacing"/>
              <w:spacing w:line="276" w:lineRule="auto"/>
              <w:jc w:val="both"/>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5</w:t>
            </w:r>
          </w:p>
        </w:tc>
      </w:tr>
      <w:tr w:rsidR="00BA6896" w:rsidRPr="00846A7C" w:rsidTr="000403CB">
        <w:trPr>
          <w:trHeight w:val="208"/>
        </w:trPr>
        <w:tc>
          <w:tcPr>
            <w:tcW w:w="658" w:type="dxa"/>
          </w:tcPr>
          <w:p w:rsidR="00BA6896" w:rsidRPr="00F23F5C" w:rsidRDefault="00224EFC" w:rsidP="000403CB">
            <w:pPr>
              <w:pStyle w:val="NoSpacing"/>
              <w:spacing w:line="276" w:lineRule="auto"/>
              <w:jc w:val="both"/>
              <w:rPr>
                <w:rFonts w:asciiTheme="minorHAnsi" w:hAnsiTheme="minorHAnsi" w:cstheme="minorHAnsi"/>
              </w:rPr>
            </w:pPr>
            <w:r w:rsidRPr="00F23F5C">
              <w:rPr>
                <w:rFonts w:asciiTheme="minorHAnsi" w:hAnsiTheme="minorHAnsi" w:cstheme="minorHAnsi"/>
              </w:rPr>
              <w:t>1.</w:t>
            </w:r>
          </w:p>
        </w:tc>
        <w:tc>
          <w:tcPr>
            <w:tcW w:w="4787" w:type="dxa"/>
          </w:tcPr>
          <w:p w:rsidR="00BA6896" w:rsidRPr="00F23F5C" w:rsidRDefault="00224EFC" w:rsidP="000403CB">
            <w:pPr>
              <w:pStyle w:val="NoSpacing"/>
              <w:spacing w:line="276" w:lineRule="auto"/>
              <w:jc w:val="both"/>
              <w:rPr>
                <w:rFonts w:asciiTheme="minorHAnsi" w:hAnsiTheme="minorHAnsi" w:cstheme="minorHAnsi"/>
              </w:rPr>
            </w:pPr>
            <w:r w:rsidRPr="00F23F5C">
              <w:rPr>
                <w:rFonts w:asciiTheme="minorHAnsi" w:hAnsiTheme="minorHAnsi" w:cstheme="minorHAnsi"/>
              </w:rPr>
              <w:t>Proračunska zaliha</w:t>
            </w:r>
          </w:p>
        </w:tc>
        <w:tc>
          <w:tcPr>
            <w:tcW w:w="1113" w:type="dxa"/>
          </w:tcPr>
          <w:p w:rsidR="00BA6896" w:rsidRPr="00F23F5C" w:rsidRDefault="00224EFC" w:rsidP="00B8193B">
            <w:pPr>
              <w:pStyle w:val="NoSpacing"/>
              <w:spacing w:line="276" w:lineRule="auto"/>
              <w:jc w:val="right"/>
              <w:rPr>
                <w:rFonts w:asciiTheme="minorHAnsi" w:hAnsiTheme="minorHAnsi" w:cstheme="minorHAnsi"/>
              </w:rPr>
            </w:pPr>
            <w:r w:rsidRPr="00F23F5C">
              <w:rPr>
                <w:rFonts w:asciiTheme="minorHAnsi" w:hAnsiTheme="minorHAnsi" w:cstheme="minorHAnsi"/>
              </w:rPr>
              <w:t>72.600,00</w:t>
            </w:r>
          </w:p>
        </w:tc>
        <w:tc>
          <w:tcPr>
            <w:tcW w:w="1240" w:type="dxa"/>
          </w:tcPr>
          <w:p w:rsidR="00BA6896" w:rsidRPr="00F23F5C" w:rsidRDefault="00224EFC" w:rsidP="00B8193B">
            <w:pPr>
              <w:pStyle w:val="NoSpacing"/>
              <w:spacing w:line="276" w:lineRule="auto"/>
              <w:jc w:val="right"/>
              <w:rPr>
                <w:rFonts w:asciiTheme="minorHAnsi" w:hAnsiTheme="minorHAnsi" w:cstheme="minorHAnsi"/>
              </w:rPr>
            </w:pPr>
            <w:r w:rsidRPr="00F23F5C">
              <w:rPr>
                <w:rFonts w:asciiTheme="minorHAnsi" w:hAnsiTheme="minorHAnsi" w:cstheme="minorHAnsi"/>
              </w:rPr>
              <w:t>26.600,00</w:t>
            </w:r>
          </w:p>
        </w:tc>
        <w:tc>
          <w:tcPr>
            <w:tcW w:w="1207" w:type="dxa"/>
          </w:tcPr>
          <w:p w:rsidR="00BA6896" w:rsidRPr="00F23F5C" w:rsidRDefault="00224EFC" w:rsidP="00B8193B">
            <w:pPr>
              <w:pStyle w:val="NoSpacing"/>
              <w:spacing w:line="276" w:lineRule="auto"/>
              <w:jc w:val="right"/>
              <w:rPr>
                <w:rFonts w:asciiTheme="minorHAnsi" w:hAnsiTheme="minorHAnsi" w:cstheme="minorHAnsi"/>
              </w:rPr>
            </w:pPr>
            <w:r w:rsidRPr="00F23F5C">
              <w:rPr>
                <w:rFonts w:asciiTheme="minorHAnsi" w:hAnsiTheme="minorHAnsi" w:cstheme="minorHAnsi"/>
              </w:rPr>
              <w:t>26.600,00</w:t>
            </w:r>
          </w:p>
        </w:tc>
      </w:tr>
      <w:tr w:rsidR="004366B0" w:rsidRPr="00846A7C" w:rsidTr="000403CB">
        <w:trPr>
          <w:trHeight w:val="330"/>
        </w:trPr>
        <w:tc>
          <w:tcPr>
            <w:tcW w:w="658" w:type="dxa"/>
          </w:tcPr>
          <w:p w:rsidR="00CB37DA" w:rsidRPr="00846A7C" w:rsidRDefault="00CB37DA" w:rsidP="000403CB">
            <w:pPr>
              <w:pStyle w:val="NoSpacing"/>
              <w:spacing w:line="276" w:lineRule="auto"/>
              <w:jc w:val="both"/>
              <w:rPr>
                <w:rFonts w:asciiTheme="minorHAnsi" w:hAnsiTheme="minorHAnsi" w:cstheme="minorHAnsi"/>
                <w:b/>
              </w:rPr>
            </w:pPr>
          </w:p>
        </w:tc>
        <w:tc>
          <w:tcPr>
            <w:tcW w:w="4787" w:type="dxa"/>
          </w:tcPr>
          <w:p w:rsidR="00CB37DA" w:rsidRPr="00846A7C" w:rsidRDefault="00224EFC" w:rsidP="000403CB">
            <w:pPr>
              <w:pStyle w:val="NoSpacing"/>
              <w:spacing w:line="276" w:lineRule="auto"/>
              <w:jc w:val="both"/>
              <w:rPr>
                <w:rFonts w:asciiTheme="minorHAnsi" w:hAnsiTheme="minorHAnsi" w:cstheme="minorHAnsi"/>
                <w:b/>
              </w:rPr>
            </w:pPr>
            <w:r>
              <w:rPr>
                <w:rFonts w:asciiTheme="minorHAnsi" w:hAnsiTheme="minorHAnsi" w:cstheme="minorHAnsi"/>
                <w:b/>
              </w:rPr>
              <w:t>Ukupno program</w:t>
            </w:r>
          </w:p>
        </w:tc>
        <w:tc>
          <w:tcPr>
            <w:tcW w:w="1113" w:type="dxa"/>
          </w:tcPr>
          <w:p w:rsidR="00CB37DA" w:rsidRPr="00846A7C" w:rsidRDefault="00224EFC" w:rsidP="00B8193B">
            <w:pPr>
              <w:pStyle w:val="NoSpacing"/>
              <w:spacing w:line="276" w:lineRule="auto"/>
              <w:jc w:val="right"/>
              <w:rPr>
                <w:rFonts w:asciiTheme="minorHAnsi" w:hAnsiTheme="minorHAnsi" w:cstheme="minorHAnsi"/>
                <w:b/>
              </w:rPr>
            </w:pPr>
            <w:r>
              <w:rPr>
                <w:rFonts w:asciiTheme="minorHAnsi" w:hAnsiTheme="minorHAnsi" w:cstheme="minorHAnsi"/>
                <w:b/>
              </w:rPr>
              <w:t>72.600,00</w:t>
            </w:r>
          </w:p>
        </w:tc>
        <w:tc>
          <w:tcPr>
            <w:tcW w:w="1240" w:type="dxa"/>
          </w:tcPr>
          <w:p w:rsidR="00CB37DA" w:rsidRPr="00846A7C" w:rsidRDefault="00224EFC" w:rsidP="00B8193B">
            <w:pPr>
              <w:pStyle w:val="NoSpacing"/>
              <w:spacing w:line="276" w:lineRule="auto"/>
              <w:jc w:val="right"/>
              <w:rPr>
                <w:rFonts w:asciiTheme="minorHAnsi" w:hAnsiTheme="minorHAnsi" w:cstheme="minorHAnsi"/>
                <w:b/>
              </w:rPr>
            </w:pPr>
            <w:r>
              <w:rPr>
                <w:rFonts w:asciiTheme="minorHAnsi" w:hAnsiTheme="minorHAnsi" w:cstheme="minorHAnsi"/>
                <w:b/>
              </w:rPr>
              <w:t>26.600,00</w:t>
            </w:r>
          </w:p>
        </w:tc>
        <w:tc>
          <w:tcPr>
            <w:tcW w:w="1207" w:type="dxa"/>
          </w:tcPr>
          <w:p w:rsidR="00CB37DA" w:rsidRPr="00846A7C" w:rsidRDefault="00224EFC" w:rsidP="00B8193B">
            <w:pPr>
              <w:pStyle w:val="NoSpacing"/>
              <w:spacing w:line="276" w:lineRule="auto"/>
              <w:jc w:val="right"/>
              <w:rPr>
                <w:rFonts w:asciiTheme="minorHAnsi" w:hAnsiTheme="minorHAnsi" w:cstheme="minorHAnsi"/>
                <w:b/>
              </w:rPr>
            </w:pPr>
            <w:r>
              <w:rPr>
                <w:rFonts w:asciiTheme="minorHAnsi" w:hAnsiTheme="minorHAnsi" w:cstheme="minorHAnsi"/>
                <w:b/>
              </w:rPr>
              <w:t>26.600,00</w:t>
            </w:r>
          </w:p>
        </w:tc>
      </w:tr>
    </w:tbl>
    <w:p w:rsidR="00CB37DA" w:rsidRPr="00846A7C" w:rsidRDefault="00CB37DA" w:rsidP="000403CB">
      <w:pPr>
        <w:pStyle w:val="NoSpacing"/>
        <w:shd w:val="clear" w:color="auto" w:fill="FFFFFF"/>
        <w:spacing w:line="276" w:lineRule="auto"/>
        <w:jc w:val="both"/>
        <w:rPr>
          <w:rFonts w:asciiTheme="minorHAnsi" w:hAnsiTheme="minorHAnsi" w:cstheme="minorHAnsi"/>
          <w:b/>
          <w:color w:val="FF0000"/>
        </w:rPr>
      </w:pPr>
    </w:p>
    <w:p w:rsidR="00AA2587" w:rsidRDefault="00CB37DA" w:rsidP="000403CB">
      <w:pPr>
        <w:pStyle w:val="NoSpacing"/>
        <w:shd w:val="clear" w:color="auto" w:fill="FFFFFF"/>
        <w:spacing w:line="276" w:lineRule="auto"/>
        <w:jc w:val="both"/>
        <w:rPr>
          <w:rFonts w:asciiTheme="minorHAnsi" w:hAnsiTheme="minorHAnsi" w:cstheme="minorHAnsi"/>
        </w:rPr>
      </w:pPr>
      <w:r w:rsidRPr="00846A7C">
        <w:rPr>
          <w:rFonts w:asciiTheme="minorHAnsi" w:hAnsiTheme="minorHAnsi" w:cstheme="minorHAnsi"/>
          <w:b/>
        </w:rPr>
        <w:t>RAZLOG ODSTUPANJA OD PROŠLOGODIŠNJIH PROJEKCIJA</w:t>
      </w:r>
      <w:r w:rsidRPr="00846A7C">
        <w:rPr>
          <w:rFonts w:asciiTheme="minorHAnsi" w:hAnsiTheme="minorHAnsi" w:cstheme="minorHAnsi"/>
        </w:rPr>
        <w:t>:</w:t>
      </w:r>
    </w:p>
    <w:p w:rsidR="00224EFC" w:rsidRPr="00224EFC" w:rsidRDefault="00224EFC" w:rsidP="000403CB">
      <w:pPr>
        <w:pStyle w:val="NoSpacing"/>
        <w:shd w:val="clear" w:color="auto" w:fill="FFFFFF"/>
        <w:spacing w:line="276" w:lineRule="auto"/>
        <w:jc w:val="both"/>
        <w:rPr>
          <w:rFonts w:asciiTheme="minorHAnsi" w:hAnsiTheme="minorHAnsi" w:cstheme="minorHAnsi"/>
          <w:bCs/>
        </w:rPr>
      </w:pPr>
      <w:r w:rsidRPr="00224EFC">
        <w:rPr>
          <w:rFonts w:asciiTheme="minorHAnsi" w:hAnsiTheme="minorHAnsi" w:cstheme="minorHAnsi"/>
        </w:rPr>
        <w:t>Nema</w:t>
      </w:r>
      <w:r w:rsidR="00EF216C">
        <w:rPr>
          <w:rFonts w:asciiTheme="minorHAnsi" w:hAnsiTheme="minorHAnsi" w:cstheme="minorHAnsi"/>
        </w:rPr>
        <w:t xml:space="preserve"> znatnih </w:t>
      </w:r>
      <w:r w:rsidRPr="00224EFC">
        <w:rPr>
          <w:rFonts w:asciiTheme="minorHAnsi" w:hAnsiTheme="minorHAnsi" w:cstheme="minorHAnsi"/>
        </w:rPr>
        <w:t>odstupanja od prošlogodišnje projekcije</w:t>
      </w:r>
      <w:r w:rsidR="00F23F5C">
        <w:rPr>
          <w:rFonts w:asciiTheme="minorHAnsi" w:hAnsiTheme="minorHAnsi" w:cstheme="minorHAnsi"/>
        </w:rPr>
        <w:t>.</w:t>
      </w:r>
    </w:p>
    <w:p w:rsidR="00E92029" w:rsidRPr="00846A7C" w:rsidRDefault="00E92029" w:rsidP="00CB37DA">
      <w:pPr>
        <w:pStyle w:val="NoSpacing"/>
        <w:shd w:val="clear" w:color="auto" w:fill="FFFFFF"/>
        <w:jc w:val="both"/>
        <w:rPr>
          <w:rFonts w:asciiTheme="minorHAnsi" w:hAnsiTheme="minorHAnsi" w:cstheme="minorHAnsi"/>
          <w:bCs/>
        </w:rPr>
      </w:pPr>
    </w:p>
    <w:p w:rsidR="001F4C26" w:rsidRPr="00846A7C" w:rsidRDefault="001F4C26" w:rsidP="00CB37DA">
      <w:pPr>
        <w:pStyle w:val="NoSpacing"/>
        <w:shd w:val="clear" w:color="auto" w:fill="FFFFFF"/>
        <w:jc w:val="both"/>
        <w:rPr>
          <w:rFonts w:asciiTheme="minorHAnsi" w:hAnsiTheme="minorHAnsi" w:cstheme="minorHAnsi"/>
          <w:i/>
        </w:rPr>
      </w:pPr>
    </w:p>
    <w:p w:rsidR="003F64AF" w:rsidRPr="00846A7C" w:rsidRDefault="003F64AF" w:rsidP="00952E13">
      <w:pPr>
        <w:pStyle w:val="NoSpacing"/>
        <w:shd w:val="clear" w:color="auto" w:fill="FFFFFF"/>
        <w:jc w:val="both"/>
        <w:rPr>
          <w:rFonts w:asciiTheme="minorHAnsi" w:hAnsiTheme="minorHAnsi" w:cstheme="minorHAnsi"/>
          <w:i/>
          <w:color w:val="FF0000"/>
        </w:rPr>
      </w:pPr>
    </w:p>
    <w:sectPr w:rsidR="003F64AF" w:rsidRPr="00846A7C" w:rsidSect="0029065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830" w:rsidRDefault="000D2830" w:rsidP="00BD5B5D">
      <w:r>
        <w:separator/>
      </w:r>
    </w:p>
  </w:endnote>
  <w:endnote w:type="continuationSeparator" w:id="0">
    <w:p w:rsidR="000D2830" w:rsidRDefault="000D2830" w:rsidP="00BD5B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830" w:rsidRDefault="000D2830" w:rsidP="00BD5B5D">
      <w:r>
        <w:separator/>
      </w:r>
    </w:p>
  </w:footnote>
  <w:footnote w:type="continuationSeparator" w:id="0">
    <w:p w:rsidR="000D2830" w:rsidRDefault="000D2830" w:rsidP="00BD5B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A7C19"/>
    <w:multiLevelType w:val="hybridMultilevel"/>
    <w:tmpl w:val="47DAF89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nsid w:val="25C832E3"/>
    <w:multiLevelType w:val="hybridMultilevel"/>
    <w:tmpl w:val="0540ABF2"/>
    <w:lvl w:ilvl="0" w:tplc="9A52DBF6">
      <w:start w:val="2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962E92"/>
    <w:rsid w:val="000403CB"/>
    <w:rsid w:val="00044E57"/>
    <w:rsid w:val="000D2830"/>
    <w:rsid w:val="000D3C97"/>
    <w:rsid w:val="000E51EA"/>
    <w:rsid w:val="00100443"/>
    <w:rsid w:val="001034BE"/>
    <w:rsid w:val="0011710E"/>
    <w:rsid w:val="0014514B"/>
    <w:rsid w:val="00175646"/>
    <w:rsid w:val="001954D7"/>
    <w:rsid w:val="001A3CFA"/>
    <w:rsid w:val="001B56B2"/>
    <w:rsid w:val="001F4C26"/>
    <w:rsid w:val="00206869"/>
    <w:rsid w:val="00220478"/>
    <w:rsid w:val="00224246"/>
    <w:rsid w:val="00224EFC"/>
    <w:rsid w:val="002461B6"/>
    <w:rsid w:val="00253622"/>
    <w:rsid w:val="002709B4"/>
    <w:rsid w:val="00290652"/>
    <w:rsid w:val="002C5296"/>
    <w:rsid w:val="002E22D7"/>
    <w:rsid w:val="0031260C"/>
    <w:rsid w:val="003263F3"/>
    <w:rsid w:val="00350C47"/>
    <w:rsid w:val="00390A7C"/>
    <w:rsid w:val="00391527"/>
    <w:rsid w:val="00392807"/>
    <w:rsid w:val="003F64AF"/>
    <w:rsid w:val="00417976"/>
    <w:rsid w:val="004366B0"/>
    <w:rsid w:val="00436CBE"/>
    <w:rsid w:val="0044350B"/>
    <w:rsid w:val="0048373F"/>
    <w:rsid w:val="004E3D9D"/>
    <w:rsid w:val="004F6855"/>
    <w:rsid w:val="005064EE"/>
    <w:rsid w:val="00513F4C"/>
    <w:rsid w:val="005142E6"/>
    <w:rsid w:val="005700E1"/>
    <w:rsid w:val="005A5F94"/>
    <w:rsid w:val="005A6131"/>
    <w:rsid w:val="005D0378"/>
    <w:rsid w:val="00616CE4"/>
    <w:rsid w:val="00632F89"/>
    <w:rsid w:val="006539CD"/>
    <w:rsid w:val="00661205"/>
    <w:rsid w:val="00663911"/>
    <w:rsid w:val="00681B87"/>
    <w:rsid w:val="00696AD6"/>
    <w:rsid w:val="006B1B3C"/>
    <w:rsid w:val="006C698D"/>
    <w:rsid w:val="0073773C"/>
    <w:rsid w:val="00740C12"/>
    <w:rsid w:val="00761C13"/>
    <w:rsid w:val="00787DDB"/>
    <w:rsid w:val="00791176"/>
    <w:rsid w:val="007E00F9"/>
    <w:rsid w:val="007F4477"/>
    <w:rsid w:val="00801715"/>
    <w:rsid w:val="00846A7C"/>
    <w:rsid w:val="008510C0"/>
    <w:rsid w:val="008748EC"/>
    <w:rsid w:val="0088418E"/>
    <w:rsid w:val="00886E47"/>
    <w:rsid w:val="008A0D32"/>
    <w:rsid w:val="008C3B97"/>
    <w:rsid w:val="008C4D33"/>
    <w:rsid w:val="008C66F1"/>
    <w:rsid w:val="008E3DA3"/>
    <w:rsid w:val="008E5CE3"/>
    <w:rsid w:val="0092666C"/>
    <w:rsid w:val="00933062"/>
    <w:rsid w:val="00936F8A"/>
    <w:rsid w:val="00952E13"/>
    <w:rsid w:val="00962E92"/>
    <w:rsid w:val="009633C8"/>
    <w:rsid w:val="009D6DD8"/>
    <w:rsid w:val="00A3432A"/>
    <w:rsid w:val="00A478D8"/>
    <w:rsid w:val="00A52C0D"/>
    <w:rsid w:val="00A52DD0"/>
    <w:rsid w:val="00A961E0"/>
    <w:rsid w:val="00AA2587"/>
    <w:rsid w:val="00AC2190"/>
    <w:rsid w:val="00AE1A1F"/>
    <w:rsid w:val="00AF669B"/>
    <w:rsid w:val="00B017F5"/>
    <w:rsid w:val="00B10BE8"/>
    <w:rsid w:val="00B25CCD"/>
    <w:rsid w:val="00B343C0"/>
    <w:rsid w:val="00B36362"/>
    <w:rsid w:val="00B605FA"/>
    <w:rsid w:val="00B62867"/>
    <w:rsid w:val="00B67F60"/>
    <w:rsid w:val="00B76F9D"/>
    <w:rsid w:val="00B8193B"/>
    <w:rsid w:val="00B96655"/>
    <w:rsid w:val="00BA6896"/>
    <w:rsid w:val="00BD5B5D"/>
    <w:rsid w:val="00C0140F"/>
    <w:rsid w:val="00C02BF9"/>
    <w:rsid w:val="00C12448"/>
    <w:rsid w:val="00C54AEA"/>
    <w:rsid w:val="00CB37DA"/>
    <w:rsid w:val="00CB75E5"/>
    <w:rsid w:val="00CD5FCC"/>
    <w:rsid w:val="00CE09C9"/>
    <w:rsid w:val="00D00D4D"/>
    <w:rsid w:val="00D42692"/>
    <w:rsid w:val="00D50685"/>
    <w:rsid w:val="00D736B6"/>
    <w:rsid w:val="00D76BC3"/>
    <w:rsid w:val="00D808CE"/>
    <w:rsid w:val="00D84166"/>
    <w:rsid w:val="00DA4F2B"/>
    <w:rsid w:val="00DB2037"/>
    <w:rsid w:val="00DB5D4B"/>
    <w:rsid w:val="00DC3490"/>
    <w:rsid w:val="00DC769A"/>
    <w:rsid w:val="00DE439E"/>
    <w:rsid w:val="00DE4468"/>
    <w:rsid w:val="00E14CFB"/>
    <w:rsid w:val="00E538A4"/>
    <w:rsid w:val="00E6721E"/>
    <w:rsid w:val="00E71D42"/>
    <w:rsid w:val="00E77041"/>
    <w:rsid w:val="00E87FD0"/>
    <w:rsid w:val="00E92029"/>
    <w:rsid w:val="00EB0073"/>
    <w:rsid w:val="00EF216C"/>
    <w:rsid w:val="00F17721"/>
    <w:rsid w:val="00F23F5C"/>
    <w:rsid w:val="00F5199F"/>
    <w:rsid w:val="00FE5C77"/>
    <w:rsid w:val="00FE7D07"/>
    <w:rsid w:val="00FF3305"/>
    <w:rsid w:val="00FF67E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6B0"/>
    <w:pPr>
      <w:spacing w:after="0" w:line="240" w:lineRule="auto"/>
      <w:jc w:val="center"/>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2E92"/>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962E92"/>
    <w:rPr>
      <w:rFonts w:ascii="Calibri" w:eastAsia="Times New Roman" w:hAnsi="Calibri" w:cs="Times New Roman"/>
    </w:rPr>
  </w:style>
  <w:style w:type="table" w:styleId="TableGrid">
    <w:name w:val="Table Grid"/>
    <w:basedOn w:val="TableNormal"/>
    <w:uiPriority w:val="39"/>
    <w:rsid w:val="00962E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D5B5D"/>
    <w:pPr>
      <w:tabs>
        <w:tab w:val="center" w:pos="4536"/>
        <w:tab w:val="right" w:pos="9072"/>
      </w:tabs>
    </w:pPr>
  </w:style>
  <w:style w:type="character" w:customStyle="1" w:styleId="HeaderChar">
    <w:name w:val="Header Char"/>
    <w:basedOn w:val="DefaultParagraphFont"/>
    <w:link w:val="Header"/>
    <w:uiPriority w:val="99"/>
    <w:rsid w:val="00BD5B5D"/>
    <w:rPr>
      <w:rFonts w:ascii="Times New Roman" w:eastAsia="Calibri" w:hAnsi="Times New Roman" w:cs="Times New Roman"/>
      <w:sz w:val="24"/>
    </w:rPr>
  </w:style>
  <w:style w:type="paragraph" w:styleId="Footer">
    <w:name w:val="footer"/>
    <w:basedOn w:val="Normal"/>
    <w:link w:val="FooterChar"/>
    <w:uiPriority w:val="99"/>
    <w:unhideWhenUsed/>
    <w:rsid w:val="00BD5B5D"/>
    <w:pPr>
      <w:tabs>
        <w:tab w:val="center" w:pos="4536"/>
        <w:tab w:val="right" w:pos="9072"/>
      </w:tabs>
    </w:pPr>
  </w:style>
  <w:style w:type="character" w:customStyle="1" w:styleId="FooterChar">
    <w:name w:val="Footer Char"/>
    <w:basedOn w:val="DefaultParagraphFont"/>
    <w:link w:val="Footer"/>
    <w:uiPriority w:val="99"/>
    <w:rsid w:val="00BD5B5D"/>
    <w:rPr>
      <w:rFonts w:ascii="Times New Roman" w:eastAsia="Calibri" w:hAnsi="Times New Roman" w:cs="Times New Roman"/>
      <w:sz w:val="24"/>
    </w:rPr>
  </w:style>
  <w:style w:type="character" w:styleId="Hyperlink">
    <w:name w:val="Hyperlink"/>
    <w:basedOn w:val="DefaultParagraphFont"/>
    <w:uiPriority w:val="99"/>
    <w:semiHidden/>
    <w:unhideWhenUsed/>
    <w:rsid w:val="003F64AF"/>
    <w:rPr>
      <w:color w:val="0000FF"/>
      <w:u w:val="single"/>
    </w:rPr>
  </w:style>
  <w:style w:type="paragraph" w:styleId="Subtitle">
    <w:name w:val="Subtitle"/>
    <w:basedOn w:val="Normal"/>
    <w:next w:val="Normal"/>
    <w:link w:val="SubtitleChar"/>
    <w:uiPriority w:val="11"/>
    <w:qFormat/>
    <w:rsid w:val="00791176"/>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791176"/>
    <w:rPr>
      <w:rFonts w:eastAsiaTheme="minorEastAsia"/>
      <w:color w:val="5A5A5A" w:themeColor="text1" w:themeTint="A5"/>
      <w:spacing w:val="15"/>
    </w:rPr>
  </w:style>
</w:styles>
</file>

<file path=word/webSettings.xml><?xml version="1.0" encoding="utf-8"?>
<w:webSettings xmlns:r="http://schemas.openxmlformats.org/officeDocument/2006/relationships" xmlns:w="http://schemas.openxmlformats.org/wordprocessingml/2006/main">
  <w:divs>
    <w:div w:id="86929352">
      <w:bodyDiv w:val="1"/>
      <w:marLeft w:val="0"/>
      <w:marRight w:val="0"/>
      <w:marTop w:val="0"/>
      <w:marBottom w:val="0"/>
      <w:divBdr>
        <w:top w:val="none" w:sz="0" w:space="0" w:color="auto"/>
        <w:left w:val="none" w:sz="0" w:space="0" w:color="auto"/>
        <w:bottom w:val="none" w:sz="0" w:space="0" w:color="auto"/>
        <w:right w:val="none" w:sz="0" w:space="0" w:color="auto"/>
      </w:divBdr>
    </w:div>
    <w:div w:id="91317810">
      <w:bodyDiv w:val="1"/>
      <w:marLeft w:val="0"/>
      <w:marRight w:val="0"/>
      <w:marTop w:val="0"/>
      <w:marBottom w:val="0"/>
      <w:divBdr>
        <w:top w:val="none" w:sz="0" w:space="0" w:color="auto"/>
        <w:left w:val="none" w:sz="0" w:space="0" w:color="auto"/>
        <w:bottom w:val="none" w:sz="0" w:space="0" w:color="auto"/>
        <w:right w:val="none" w:sz="0" w:space="0" w:color="auto"/>
      </w:divBdr>
    </w:div>
    <w:div w:id="361781786">
      <w:bodyDiv w:val="1"/>
      <w:marLeft w:val="0"/>
      <w:marRight w:val="0"/>
      <w:marTop w:val="0"/>
      <w:marBottom w:val="0"/>
      <w:divBdr>
        <w:top w:val="none" w:sz="0" w:space="0" w:color="auto"/>
        <w:left w:val="none" w:sz="0" w:space="0" w:color="auto"/>
        <w:bottom w:val="none" w:sz="0" w:space="0" w:color="auto"/>
        <w:right w:val="none" w:sz="0" w:space="0" w:color="auto"/>
      </w:divBdr>
    </w:div>
    <w:div w:id="623460945">
      <w:bodyDiv w:val="1"/>
      <w:marLeft w:val="0"/>
      <w:marRight w:val="0"/>
      <w:marTop w:val="0"/>
      <w:marBottom w:val="0"/>
      <w:divBdr>
        <w:top w:val="none" w:sz="0" w:space="0" w:color="auto"/>
        <w:left w:val="none" w:sz="0" w:space="0" w:color="auto"/>
        <w:bottom w:val="none" w:sz="0" w:space="0" w:color="auto"/>
        <w:right w:val="none" w:sz="0" w:space="0" w:color="auto"/>
      </w:divBdr>
    </w:div>
    <w:div w:id="697388002">
      <w:bodyDiv w:val="1"/>
      <w:marLeft w:val="0"/>
      <w:marRight w:val="0"/>
      <w:marTop w:val="0"/>
      <w:marBottom w:val="0"/>
      <w:divBdr>
        <w:top w:val="none" w:sz="0" w:space="0" w:color="auto"/>
        <w:left w:val="none" w:sz="0" w:space="0" w:color="auto"/>
        <w:bottom w:val="none" w:sz="0" w:space="0" w:color="auto"/>
        <w:right w:val="none" w:sz="0" w:space="0" w:color="auto"/>
      </w:divBdr>
    </w:div>
    <w:div w:id="722876110">
      <w:bodyDiv w:val="1"/>
      <w:marLeft w:val="0"/>
      <w:marRight w:val="0"/>
      <w:marTop w:val="0"/>
      <w:marBottom w:val="0"/>
      <w:divBdr>
        <w:top w:val="none" w:sz="0" w:space="0" w:color="auto"/>
        <w:left w:val="none" w:sz="0" w:space="0" w:color="auto"/>
        <w:bottom w:val="none" w:sz="0" w:space="0" w:color="auto"/>
        <w:right w:val="none" w:sz="0" w:space="0" w:color="auto"/>
      </w:divBdr>
    </w:div>
    <w:div w:id="142078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1533</TotalTime>
  <Pages>5</Pages>
  <Words>1832</Words>
  <Characters>10446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DRAGICA</dc:creator>
  <cp:lastModifiedBy>IVA</cp:lastModifiedBy>
  <cp:revision>31</cp:revision>
  <cp:lastPrinted>2020-11-13T10:38:00Z</cp:lastPrinted>
  <dcterms:created xsi:type="dcterms:W3CDTF">2022-10-18T08:26:00Z</dcterms:created>
  <dcterms:modified xsi:type="dcterms:W3CDTF">2022-12-09T08:56:00Z</dcterms:modified>
</cp:coreProperties>
</file>