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D0E" w:rsidRPr="00642267" w:rsidRDefault="00B03D0E" w:rsidP="00B03D0E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theme="minorHAnsi"/>
          <w:b/>
        </w:rPr>
      </w:pPr>
      <w:r w:rsidRPr="00642267">
        <w:rPr>
          <w:rFonts w:eastAsia="Times New Roman" w:cstheme="minorHAnsi"/>
          <w:b/>
        </w:rPr>
        <w:t xml:space="preserve">OBRAZLOŽENJE </w:t>
      </w:r>
    </w:p>
    <w:p w:rsidR="00B03D0E" w:rsidRPr="00642267" w:rsidRDefault="00B03D0E" w:rsidP="00B03D0E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eastAsia="Times New Roman" w:cstheme="minorHAnsi"/>
          <w:b/>
        </w:rPr>
      </w:pPr>
      <w:r w:rsidRPr="00642267">
        <w:rPr>
          <w:rFonts w:eastAsia="Times New Roman" w:cstheme="minorHAnsi"/>
          <w:b/>
        </w:rPr>
        <w:t xml:space="preserve">PRIJEDLOGA </w:t>
      </w:r>
      <w:r w:rsidR="004D3D5C" w:rsidRPr="00642267">
        <w:rPr>
          <w:rFonts w:eastAsia="Times New Roman" w:cstheme="minorHAnsi"/>
          <w:b/>
        </w:rPr>
        <w:t>PLANA</w:t>
      </w:r>
      <w:r w:rsidRPr="00642267">
        <w:rPr>
          <w:rFonts w:eastAsia="Times New Roman" w:cstheme="minorHAnsi"/>
          <w:b/>
        </w:rPr>
        <w:t xml:space="preserve"> PRORAČUNA DUBROVAČKO-NERETVANSKE ŽUPANIJE ZA 202</w:t>
      </w:r>
      <w:r w:rsidR="004D3D5C" w:rsidRPr="00642267">
        <w:rPr>
          <w:rFonts w:eastAsia="Times New Roman" w:cstheme="minorHAnsi"/>
          <w:b/>
        </w:rPr>
        <w:t>3</w:t>
      </w:r>
      <w:r w:rsidRPr="00642267">
        <w:rPr>
          <w:rFonts w:eastAsia="Times New Roman" w:cstheme="minorHAnsi"/>
          <w:b/>
        </w:rPr>
        <w:t>. GODINU</w:t>
      </w:r>
      <w:r w:rsidR="004D3D5C" w:rsidRPr="00642267">
        <w:rPr>
          <w:rFonts w:eastAsia="Times New Roman" w:cstheme="minorHAnsi"/>
          <w:b/>
        </w:rPr>
        <w:t xml:space="preserve"> I PROJEKCIJE ZA 2024. I 2025. GODINU</w:t>
      </w:r>
    </w:p>
    <w:p w:rsidR="00B03D0E" w:rsidRPr="00642267" w:rsidRDefault="00B03D0E" w:rsidP="00B03D0E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eastAsia="Times New Roman" w:cstheme="minorHAnsi"/>
          <w:b/>
        </w:rPr>
      </w:pPr>
      <w:r w:rsidRPr="00642267">
        <w:rPr>
          <w:rFonts w:eastAsia="Times New Roman" w:cstheme="minorHAnsi"/>
          <w:b/>
        </w:rPr>
        <w:t>- PROGRAMS</w:t>
      </w:r>
      <w:bookmarkStart w:id="0" w:name="_GoBack"/>
      <w:bookmarkEnd w:id="0"/>
      <w:r w:rsidRPr="00642267">
        <w:rPr>
          <w:rFonts w:eastAsia="Times New Roman" w:cstheme="minorHAnsi"/>
          <w:b/>
        </w:rPr>
        <w:t>KE AKTIVNOSTI UPRAVN</w:t>
      </w:r>
      <w:r w:rsidR="004D3D5C" w:rsidRPr="00642267">
        <w:rPr>
          <w:rFonts w:eastAsia="Times New Roman" w:cstheme="minorHAnsi"/>
          <w:b/>
        </w:rPr>
        <w:t>OG</w:t>
      </w:r>
      <w:r w:rsidRPr="00642267">
        <w:rPr>
          <w:rFonts w:eastAsia="Times New Roman" w:cstheme="minorHAnsi"/>
          <w:b/>
        </w:rPr>
        <w:t xml:space="preserve"> TIJELA -</w:t>
      </w:r>
    </w:p>
    <w:p w:rsidR="00B03D0E" w:rsidRPr="00642267" w:rsidRDefault="00B03D0E" w:rsidP="00B03D0E">
      <w:pPr>
        <w:shd w:val="clear" w:color="auto" w:fill="FFFFFF"/>
        <w:spacing w:after="0" w:line="240" w:lineRule="auto"/>
        <w:rPr>
          <w:rFonts w:eastAsia="Times New Roman" w:cstheme="minorHAnsi"/>
          <w:b/>
        </w:rPr>
      </w:pPr>
    </w:p>
    <w:p w:rsidR="00B03D0E" w:rsidRPr="00642267" w:rsidRDefault="00B03D0E" w:rsidP="00B03D0E">
      <w:pPr>
        <w:shd w:val="clear" w:color="auto" w:fill="A8EBEF" w:themeFill="accent3" w:themeFillTint="66"/>
        <w:spacing w:after="0" w:line="240" w:lineRule="auto"/>
        <w:jc w:val="center"/>
        <w:rPr>
          <w:rFonts w:eastAsia="Times New Roman" w:cstheme="minorHAnsi"/>
          <w:b/>
        </w:rPr>
      </w:pPr>
      <w:bookmarkStart w:id="1" w:name="_Hlk113703479"/>
      <w:r w:rsidRPr="00642267">
        <w:rPr>
          <w:rFonts w:eastAsia="Times New Roman" w:cstheme="minorHAnsi"/>
          <w:b/>
          <w:shd w:val="clear" w:color="auto" w:fill="A8EBEF" w:themeFill="accent3" w:themeFillTint="66"/>
        </w:rPr>
        <w:t>RAZDJEL 1</w:t>
      </w:r>
      <w:r w:rsidR="00746995" w:rsidRPr="00642267">
        <w:rPr>
          <w:rFonts w:eastAsia="Times New Roman" w:cstheme="minorHAnsi"/>
          <w:b/>
          <w:shd w:val="clear" w:color="auto" w:fill="A8EBEF" w:themeFill="accent3" w:themeFillTint="66"/>
        </w:rPr>
        <w:t>08</w:t>
      </w:r>
      <w:r w:rsidRPr="00642267">
        <w:rPr>
          <w:rFonts w:eastAsia="Times New Roman" w:cstheme="minorHAnsi"/>
          <w:b/>
          <w:shd w:val="clear" w:color="auto" w:fill="A8EBEF" w:themeFill="accent3" w:themeFillTint="66"/>
        </w:rPr>
        <w:t xml:space="preserve"> </w:t>
      </w:r>
      <w:r w:rsidR="00D23B04" w:rsidRPr="00642267">
        <w:rPr>
          <w:rFonts w:eastAsia="Times New Roman" w:cstheme="minorHAnsi"/>
          <w:b/>
          <w:shd w:val="clear" w:color="auto" w:fill="A8EBEF" w:themeFill="accent3" w:themeFillTint="66"/>
        </w:rPr>
        <w:t xml:space="preserve">UPRAVNI ODJEL ZA </w:t>
      </w:r>
      <w:r w:rsidR="00746995" w:rsidRPr="00642267">
        <w:rPr>
          <w:rFonts w:eastAsia="Times New Roman" w:cstheme="minorHAnsi"/>
          <w:b/>
          <w:shd w:val="clear" w:color="auto" w:fill="A8EBEF" w:themeFill="accent3" w:themeFillTint="66"/>
        </w:rPr>
        <w:t>ZDRAVSTVO, OBITELJ I BRANITELJE</w:t>
      </w:r>
      <w:r w:rsidRPr="00642267">
        <w:rPr>
          <w:rFonts w:eastAsia="Times New Roman" w:cstheme="minorHAnsi"/>
          <w:b/>
          <w:shd w:val="clear" w:color="auto" w:fill="7CE1E7" w:themeFill="accent3" w:themeFillTint="99"/>
        </w:rPr>
        <w:t xml:space="preserve"> </w:t>
      </w:r>
    </w:p>
    <w:bookmarkEnd w:id="1"/>
    <w:p w:rsidR="00B03D0E" w:rsidRPr="00642267" w:rsidRDefault="00B03D0E" w:rsidP="00B03D0E">
      <w:pPr>
        <w:shd w:val="clear" w:color="auto" w:fill="FFFFFF"/>
        <w:spacing w:after="0" w:line="240" w:lineRule="auto"/>
        <w:rPr>
          <w:rFonts w:eastAsia="Times New Roman" w:cstheme="minorHAnsi"/>
          <w:b/>
        </w:rPr>
      </w:pPr>
    </w:p>
    <w:p w:rsidR="002C22FB" w:rsidRPr="00642267" w:rsidRDefault="00C8597B" w:rsidP="0079262B">
      <w:pPr>
        <w:widowControl w:val="0"/>
        <w:spacing w:after="0" w:line="240" w:lineRule="auto"/>
        <w:rPr>
          <w:rFonts w:eastAsia="Calibri" w:cstheme="minorHAnsi"/>
          <w:iCs/>
        </w:rPr>
      </w:pPr>
      <w:r w:rsidRPr="00642267">
        <w:rPr>
          <w:rFonts w:eastAsia="Calibri" w:cstheme="minorHAnsi"/>
          <w:noProof/>
          <w:lang w:eastAsia="hr-HR"/>
        </w:rPr>
        <w:pict>
          <v:group id="Group 1" o:spid="_x0000_s1026" style="position:absolute;margin-left:69.35pt;margin-top:-29.35pt;width:456.5pt;height:14.75pt;z-index:-251658240;mso-position-horizontal-relative:page" coordorigin="1387,-587" coordsize="9130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">
            <v:shape id="Freeform 5" o:spid="_x0000_s1027" style="position:absolute;left:1387;top:-587;width:9130;height:295;visibility:visible;mso-wrap-style:square;v-text-anchor:top" coordsize="9130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" path="m,295r9130,l9130,,,,,295e" fillcolor="#c6d9f1" stroked="f">
              <v:path arrowok="t" o:connecttype="custom" o:connectlocs="0,-292;9130,-292;9130,-587;0,-587;0,-292" o:connectangles="0,0,0,0,0"/>
            </v:shape>
            <w10:wrap anchorx="page"/>
          </v:group>
        </w:pict>
      </w:r>
      <w:r w:rsidR="002C22FB" w:rsidRPr="00642267">
        <w:rPr>
          <w:rFonts w:eastAsia="Calibri" w:cstheme="minorHAnsi"/>
          <w:iCs/>
        </w:rPr>
        <w:t xml:space="preserve">Dubrovačko-neretvanska županija redovito i kontinuirano ulaže u zdravstvo, socijalnu skrb, mlade i branitelje, a Upravni odjel za zdravstvo, obitelj i branitelje obavlja upravne i stručne poslove </w:t>
      </w:r>
      <w:r w:rsidR="00A860CF" w:rsidRPr="00642267">
        <w:rPr>
          <w:rFonts w:eastAsia="Calibri" w:cstheme="minorHAnsi"/>
          <w:iCs/>
        </w:rPr>
        <w:t>te povjerene poslove državne uprave koji se odnose na:</w:t>
      </w:r>
    </w:p>
    <w:p w:rsidR="002C22FB" w:rsidRPr="00642267" w:rsidRDefault="002C22FB" w:rsidP="002C22FB">
      <w:pPr>
        <w:widowControl w:val="0"/>
        <w:spacing w:after="0" w:line="240" w:lineRule="auto"/>
        <w:rPr>
          <w:rFonts w:eastAsia="Calibri" w:cstheme="minorHAnsi"/>
          <w:iCs/>
        </w:rPr>
      </w:pP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praćenja i proučavanja problematike djelatnosti socijalne skrbi i zdravstva,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pripreme prijedloga mreže ustanova sukladno posebnim zakonima,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sudjelovanja u pripremi prijedloga planova investicija i drugih oblika financijskog sudjelovanja Županije u održavanju i razvoju tih mreža ustanova,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pripreme prijedloga, praćenja i izvještavanja o provođenju programa financiranja zdravstvenih djelatnosti, odnosno javno-zdravstvenih mjera Županije,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praćenja problematike u području međugeneracijske solidarnosti, skrbi o braniteljima i udrugama proisteklim iz Domovinskog rata, osoba s invaliditetom i obitelji,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pripreme analitičkih i drugih stručnih materijala s prijedlozima poboljšanja kvalitete života osoba treće životne dobi,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u svezi skrbi o braniteljima iz Domovinskog rata i članovima njihovih obitelji; o Spomenicima na Domovinski rat,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pripremanja prijedloga planova i drugih oblika financijskog sudjelovanja županije u aktivnostima udruga proisteklih iz Domovinskog rata,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pripremanja prijedloga, praćenja i izvještavanja po mjerama u svezi promicanja obiteljskih vrijednosti i provedbe mjera pronatalitetne politike; provedbe jednokratne pomoći za školovanje djece iz višečlanih obitelji,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osmišljava, organizira i prati provedbu preventivnih programa u školama i obrazovnim ustanovama na području Županije,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programske aktivnosti vezane za rad Županijskih koordinacija, povjerenstava i vijeća vezanih za područja ljudskih prava, ravnopravnosti spolova, izjednačavanja mogućnosti za osobe s invaliditetom, prevenciju kriminaliteta i štetnih oblika ponašanja djece i mladih,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poticanje demografskog razvitka,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sufinanciranje i praćenje provedbi programa povijesnih udruga,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donošenje pojedinačnih akata kojima rješava o pravima, obvezama i pravnim interesima fizičkih i pravnih osoba,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drugostupanjski upravni postupak po žalbama na upravne akte jedinica lokalne samouprave sukladno općim i posebnim propisima,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predlaganje i kandidiranje projekata i obavljanje stručnih poslova vezano za programe Europske unije i Republike Hrvatske iz djelokruga rada odjela,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sudjelovanje u izradi strateških dokumenata Županije,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izrade nacrta općih i drugih akata iz djelokruga rada odjela,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pripreme analitičkih i drugih stručnih materijala o pitanjima iz djelokruga rada odjela,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davanja mišljenja o prijedlozima i drugim materijalima koje za potrebe županijskih tijela pripremaju ustanove kojima je osnivač Županija,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druge poslove utvrđene posebnim zakonom, drugim propisom, aktom Županijske skupštine i Župana.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priznavanje prava na obvezno zdravstveno osiguranje neosiguranih osoba; izdavanje potvrda o uzdržavanju i obiteljskom statusu; izdavanje objava za povlaštenu i besplatnu vožnju invalidnim osobama, te pratitelju invalidne osobe; izdavanje objava za povlašteni prijevoz,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 xml:space="preserve">davanje odobrenja za prikupljanje i pružanje humanitarne pomoći; davanje odobrenja za </w:t>
      </w:r>
      <w:r w:rsidRPr="00642267">
        <w:rPr>
          <w:rFonts w:cstheme="minorHAnsi"/>
          <w:iCs/>
        </w:rPr>
        <w:lastRenderedPageBreak/>
        <w:t>provođenje humanitarne akcije; donošenje rješenja o uplati neutrošenih sredstava humanitarne akcije; prikupljanje, dostavljanje i publiciranje propisanih izvješća i vođenje propisanih evidencija koje se odnose na humanitarnu pomoć,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ovjera knjige evidencije o liječničkim receptima izdanim za lijekove što sadrže opojne droge ili psihotropne tvari; priznavanje prava na obvezno zdravstveno osiguranje osoba nesposobnih za samostalan život i rad koje nemaju sredstava za uzdržavanje i zdravstvenu zaštitu ne mogu ostvariti po drugoj osnovi,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pravni položaj, rješavanje pravnog položaja, statusa i drugih pitanja hrvatskih branitelja iz Domovinskog rata i članova njihovih obitelji, hrvatskih ratnih vojnih invalida iz Domovinskog rata, članova obitelji smrtno stradalog ili nestalog hrvatskog branitelja iz Domovinskog rata, stradalih pirotehničara i članova njihovih obitelji; zaštitu civilnih žrtava Domovinskog rata, zaštitu sudionika Drugog svjetskog rata, zaštitu vojnih i civilnih invalida Drugog svjetskog rata, mirnodopskih vojnih invalida, ratnih vojnih invalida stradalih pri obavljanju vojnih i redarstvenih dužnosti u stranoj zemlji u okviru mirovnih snaga i mirovnih misija ako ih je na tu dužnost uputilo nadležno tijelo u okviru međunarodnih obveza nakon 15. svibnja 1945. godine i članova njihovih obitelji; pribavljanje stručnog mišljenja ovlaštene zdravstvene ustanove o postojanju uzročno-posljedične veze pojave bolesti i/ili pogoršanja bolesti kao posljedice sudjelovanja u obrani suvereniteta Republike Hrvatske; pribavljanje nalaza i mišljenja tijela nadležnog za vještačenje o uzroku i postotku oštećenja organizma, pravu na doplatak za njegu i pomoć druge osobe, pravu na ortopedski doplatak, pravu na doplatak za pripomoć u kući, nesposobnosti za privređivanje, ostvarivanje prava na novčanu naknadu za nezaposlene hrvatske branitelje iz Domovinskog rata i članove njihovih obitelji; ostvarivanje prava na jednokratnu novčanu pomoć nakon ekshumacije i identifikacije ili proglašenja nestalog hrvatskog branitelja iz Domovinskog rata umrlim; ostvarivanje prava na jednokratnu novčanu pomoć zbog nemogućnosti podmirenja osnovnih životnih potreba; u stvarima koje se odnose na usluge osobe za pružanje njege i pomoći; na besplatni topli obrok; ostvarivanje prava osoba određenih Zakonom o hrvatskim braniteljima iz Domovinskog rata i članovima njihovih obitelji i Zakonom o zaštiti vojnih i civilnih invalida rata na besplatne udžbenike; izvješćivanje i pozivanje članova obitelji nestalih hrvatskih branitelja i civilnih žrtava iz Domovinskog rata o identifikaciji posmrtnih ostataka; ostvarivanje prava na troškove grobnog mjesta, troškove ukopa uz odavanje vojnih počasti i uređenje grobnih mjesta; sudjelovanje u organizaciji obilježavanja blagdana, spomendana i drugih svečanosti u čast stradalih hrvatskih branitelja i civila iz Domovinskog rata; sastavljanje mjesečnih, polugodišnjih i godišnjih izvještaja o broju svih korisnika po pojedinačnim pravima, te vođenje evidencije svih korisnika; obavljanje poslova obračuna i isplate novčanih sredstava temeljem prava korisnika po osnovi Zakona o hrvatskim braniteljima iz Domovinskog rata i članovima njihovih obitelji i Zakona o zaštiti vojnih i civilnih invalida rata, te vođenje evidencije izvršenih isplata i povrata nepripadno isplaćenih prava; izdavanje potvrde o statusu HRVI iz Domovinskog rata i člana obitelji smrtno stradalog ili nestalog hrvatskog branitelja iz Domovinskog rata, status civilnog invalida rata, ratnog i mirnodopskog vojnog invalida rata, kao i potvrde o novčanim primanjima po Zakonu o hrvatskim braniteljima iz Domovinskog rata i članovima njihovih obitelji i Zakonu o zaštiti vojnih i civilnih invalida rata,</w:t>
      </w:r>
    </w:p>
    <w:p w:rsidR="00B03D0E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obavljanje poslova u izdvojenim mjestima rada u svezi primanja i izdavanja pismena, njihove evidencije i dostave u rad, obrade, korištenja, otpremanja, čuvanja, izlučivanja i predaje drugom nadležnom tijelu.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cstheme="minorHAnsi"/>
          <w:iCs/>
        </w:rPr>
      </w:pP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PRORAČUNSKI KORISNICI IZ DJELOKRUGA RADA: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Opća bolnica Dubrovnik, Dubrovnik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Specijalna bolnica za medicinsku rehabilitaciju Kalos, Vela Luka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zdravlja Dubrovnik, Dubrovnik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zdravlja Korčula, Korčula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zdravlja Metković, Metković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lastRenderedPageBreak/>
        <w:t>Dom zdravlja Ploče, Ploče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zdravlja "Dr. Ante Franulovića", Vela Luka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Zavod za javno zdravstvo DNŽ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Zavod za hitnu medicinu DNŽ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za starije osobe Dubrovnik, Dubrovnik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za starije i nemoćne osobe Domus Christi, Dubrovnik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za starije osobe Korčula, Korčula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za starije osobe Vela Luka, Vela Luka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ORGANIZACIJSKA STRUKTURA: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rPr>
          <w:rFonts w:cs="Calibri"/>
          <w:color w:val="000000" w:themeColor="text1"/>
        </w:rPr>
      </w:pPr>
      <w:r w:rsidRPr="00642267">
        <w:rPr>
          <w:rFonts w:cs="Calibri"/>
          <w:color w:val="000000" w:themeColor="text1"/>
        </w:rPr>
        <w:t>Organizacijska struktura određena je Pravilnikom o unutarnjem redu Upravnog odjela za zdravstvo, obitelj i branitelje Dubrovačko-neretvanske županije.</w:t>
      </w:r>
    </w:p>
    <w:p w:rsidR="0079262B" w:rsidRPr="00642267" w:rsidRDefault="0079262B" w:rsidP="009143BA">
      <w:pPr>
        <w:widowControl w:val="0"/>
        <w:spacing w:after="0" w:line="240" w:lineRule="auto"/>
        <w:jc w:val="both"/>
        <w:rPr>
          <w:rFonts w:cstheme="minorHAnsi"/>
          <w:iCs/>
        </w:rPr>
      </w:pPr>
    </w:p>
    <w:p w:rsidR="0043280A" w:rsidRPr="00642267" w:rsidRDefault="0043280A" w:rsidP="0043280A">
      <w:pPr>
        <w:spacing w:after="200" w:line="276" w:lineRule="auto"/>
        <w:jc w:val="both"/>
        <w:rPr>
          <w:rFonts w:cstheme="minorHAnsi"/>
          <w:b/>
        </w:rPr>
      </w:pPr>
      <w:r w:rsidRPr="00642267">
        <w:rPr>
          <w:rFonts w:cstheme="minorHAnsi"/>
          <w:b/>
        </w:rPr>
        <w:t>FINANCIJSKI PLAN ZA 2023. – 2025. GODINU: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0"/>
        <w:gridCol w:w="3949"/>
        <w:gridCol w:w="1501"/>
        <w:gridCol w:w="1501"/>
        <w:gridCol w:w="1501"/>
      </w:tblGrid>
      <w:tr w:rsidR="002F2C68" w:rsidRPr="00642267" w:rsidTr="000B6A97">
        <w:tc>
          <w:tcPr>
            <w:tcW w:w="610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3949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programa</w:t>
            </w:r>
          </w:p>
        </w:tc>
        <w:tc>
          <w:tcPr>
            <w:tcW w:w="1501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</w:t>
            </w:r>
            <w:r w:rsidR="00FC144C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501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</w:t>
            </w:r>
            <w:r w:rsidR="00FC144C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501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</w:t>
            </w:r>
            <w:r w:rsidR="00FC144C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Zdravstvo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3618F0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266.348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3618F0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266.348</w:t>
            </w:r>
          </w:p>
        </w:tc>
        <w:tc>
          <w:tcPr>
            <w:tcW w:w="1501" w:type="dxa"/>
            <w:vAlign w:val="center"/>
          </w:tcPr>
          <w:p w:rsidR="00D87FC2" w:rsidRPr="00642267" w:rsidRDefault="00D87FC2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618F0" w:rsidRPr="00642267">
              <w:rPr>
                <w:rFonts w:asciiTheme="minorHAnsi" w:hAnsiTheme="minorHAnsi" w:cstheme="minorHAnsi"/>
                <w:sz w:val="22"/>
                <w:szCs w:val="22"/>
              </w:rPr>
              <w:t>66.348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Socijalna skrb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59.725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59.725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59.725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Međugeneracijska solidarnost i branitelji</w:t>
            </w:r>
          </w:p>
        </w:tc>
        <w:tc>
          <w:tcPr>
            <w:tcW w:w="1501" w:type="dxa"/>
            <w:vAlign w:val="center"/>
          </w:tcPr>
          <w:p w:rsidR="00D87FC2" w:rsidRPr="00642267" w:rsidRDefault="00D87FC2" w:rsidP="003618F0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3618F0" w:rsidRPr="00642267">
              <w:rPr>
                <w:rFonts w:asciiTheme="minorHAnsi" w:hAnsiTheme="minorHAnsi" w:cstheme="minorHAnsi"/>
                <w:sz w:val="22"/>
                <w:szCs w:val="22"/>
              </w:rPr>
              <w:t>16.955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516.955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3618F0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516.955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EU projekti – UO za zdravstvo, obitelj i branitelje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1.284.791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50.218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Zakonski standard ustanova u zdravstvu</w:t>
            </w:r>
          </w:p>
        </w:tc>
        <w:tc>
          <w:tcPr>
            <w:tcW w:w="1501" w:type="dxa"/>
            <w:vAlign w:val="center"/>
          </w:tcPr>
          <w:p w:rsidR="00D87FC2" w:rsidRPr="00642267" w:rsidRDefault="0060324B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2.182.045</w:t>
            </w:r>
          </w:p>
        </w:tc>
        <w:tc>
          <w:tcPr>
            <w:tcW w:w="1501" w:type="dxa"/>
            <w:vAlign w:val="center"/>
          </w:tcPr>
          <w:p w:rsidR="00D87FC2" w:rsidRPr="00642267" w:rsidRDefault="0060324B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2.182.045</w:t>
            </w:r>
          </w:p>
        </w:tc>
        <w:tc>
          <w:tcPr>
            <w:tcW w:w="1501" w:type="dxa"/>
            <w:vAlign w:val="center"/>
          </w:tcPr>
          <w:p w:rsidR="00D87FC2" w:rsidRPr="00642267" w:rsidRDefault="0060324B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2.182.045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Zakonski standard ustanova u socijalnoj skrbi</w:t>
            </w:r>
          </w:p>
        </w:tc>
        <w:tc>
          <w:tcPr>
            <w:tcW w:w="1501" w:type="dxa"/>
            <w:vAlign w:val="center"/>
          </w:tcPr>
          <w:p w:rsidR="00D87FC2" w:rsidRPr="00642267" w:rsidRDefault="00D87FC2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501" w:type="dxa"/>
            <w:vAlign w:val="center"/>
          </w:tcPr>
          <w:p w:rsidR="00D87FC2" w:rsidRPr="00642267" w:rsidRDefault="00D87FC2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501" w:type="dxa"/>
            <w:vAlign w:val="center"/>
          </w:tcPr>
          <w:p w:rsidR="00D87FC2" w:rsidRPr="00642267" w:rsidRDefault="00D87FC2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Zakonski standard domova za starije osobe</w:t>
            </w:r>
          </w:p>
        </w:tc>
        <w:tc>
          <w:tcPr>
            <w:tcW w:w="1501" w:type="dxa"/>
            <w:vAlign w:val="center"/>
          </w:tcPr>
          <w:p w:rsidR="00D87FC2" w:rsidRPr="00642267" w:rsidRDefault="00DA2929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1.478.638</w:t>
            </w:r>
          </w:p>
        </w:tc>
        <w:tc>
          <w:tcPr>
            <w:tcW w:w="1501" w:type="dxa"/>
            <w:vAlign w:val="center"/>
          </w:tcPr>
          <w:p w:rsidR="00D87FC2" w:rsidRPr="00642267" w:rsidRDefault="00DA2929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1.456.738</w:t>
            </w:r>
          </w:p>
        </w:tc>
        <w:tc>
          <w:tcPr>
            <w:tcW w:w="1501" w:type="dxa"/>
            <w:vAlign w:val="center"/>
          </w:tcPr>
          <w:p w:rsidR="00D87FC2" w:rsidRPr="00642267" w:rsidRDefault="00DA2929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1.456.738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3949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Program ustanova u zdravstvu iznad standarda</w:t>
            </w:r>
          </w:p>
        </w:tc>
        <w:tc>
          <w:tcPr>
            <w:tcW w:w="1501" w:type="dxa"/>
            <w:vAlign w:val="center"/>
          </w:tcPr>
          <w:p w:rsidR="000B6A97" w:rsidRPr="00642267" w:rsidRDefault="002F2C68" w:rsidP="002F2C68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83.305.983</w:t>
            </w:r>
          </w:p>
        </w:tc>
        <w:tc>
          <w:tcPr>
            <w:tcW w:w="1501" w:type="dxa"/>
            <w:vAlign w:val="center"/>
          </w:tcPr>
          <w:p w:rsidR="000B6A97" w:rsidRPr="00642267" w:rsidRDefault="000B6A97" w:rsidP="002F2C68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8</w:t>
            </w:r>
            <w:r w:rsidR="002F2C68" w:rsidRPr="006422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4.287.858</w:t>
            </w:r>
          </w:p>
        </w:tc>
        <w:tc>
          <w:tcPr>
            <w:tcW w:w="1501" w:type="dxa"/>
            <w:vAlign w:val="center"/>
          </w:tcPr>
          <w:p w:rsidR="000B6A97" w:rsidRPr="00642267" w:rsidRDefault="000B6A97" w:rsidP="002F2C68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8</w:t>
            </w:r>
            <w:r w:rsidR="002F2C68" w:rsidRPr="006422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4.448.613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Program ustanova u socijalnoj skrbi iznad standarda</w:t>
            </w:r>
          </w:p>
        </w:tc>
        <w:tc>
          <w:tcPr>
            <w:tcW w:w="1501" w:type="dxa"/>
            <w:vAlign w:val="center"/>
          </w:tcPr>
          <w:p w:rsidR="00D87FC2" w:rsidRPr="00642267" w:rsidRDefault="002F2C68" w:rsidP="002F2C68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2.535.59</w:t>
            </w:r>
            <w:r w:rsidR="0016559C"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501" w:type="dxa"/>
            <w:vAlign w:val="center"/>
          </w:tcPr>
          <w:p w:rsidR="00D87FC2" w:rsidRPr="00642267" w:rsidRDefault="009A4DB9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2.256.872</w:t>
            </w:r>
          </w:p>
        </w:tc>
        <w:tc>
          <w:tcPr>
            <w:tcW w:w="1501" w:type="dxa"/>
            <w:vAlign w:val="center"/>
          </w:tcPr>
          <w:p w:rsidR="00D87FC2" w:rsidRPr="00642267" w:rsidRDefault="009A4DB9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2.256.872</w:t>
            </w:r>
          </w:p>
        </w:tc>
      </w:tr>
      <w:tr w:rsidR="002F2C68" w:rsidRPr="00642267" w:rsidTr="000B6A97">
        <w:trPr>
          <w:trHeight w:val="518"/>
        </w:trPr>
        <w:tc>
          <w:tcPr>
            <w:tcW w:w="610" w:type="dxa"/>
          </w:tcPr>
          <w:p w:rsidR="000B6A97" w:rsidRPr="00642267" w:rsidRDefault="000B6A97" w:rsidP="000B6A97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9" w:type="dxa"/>
          </w:tcPr>
          <w:p w:rsidR="000B6A97" w:rsidRPr="00642267" w:rsidRDefault="000B6A97" w:rsidP="000B6A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RAZDJEL:</w:t>
            </w:r>
          </w:p>
        </w:tc>
        <w:tc>
          <w:tcPr>
            <w:tcW w:w="1501" w:type="dxa"/>
            <w:vAlign w:val="center"/>
          </w:tcPr>
          <w:p w:rsidR="000B6A97" w:rsidRPr="00642267" w:rsidRDefault="002F2C68" w:rsidP="002F2C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91.630.075</w:t>
            </w:r>
          </w:p>
        </w:tc>
        <w:tc>
          <w:tcPr>
            <w:tcW w:w="1501" w:type="dxa"/>
            <w:vAlign w:val="center"/>
          </w:tcPr>
          <w:p w:rsidR="000B6A97" w:rsidRPr="00642267" w:rsidRDefault="000B6A97" w:rsidP="002F2C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  <w:r w:rsidR="002F2C68"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1.07</w:t>
            </w:r>
            <w:r w:rsidR="009A4DB9"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6.759</w:t>
            </w:r>
          </w:p>
        </w:tc>
        <w:tc>
          <w:tcPr>
            <w:tcW w:w="1501" w:type="dxa"/>
            <w:vAlign w:val="center"/>
          </w:tcPr>
          <w:p w:rsidR="000B6A97" w:rsidRPr="00642267" w:rsidRDefault="002F2C68" w:rsidP="009A4DB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91.18</w:t>
            </w:r>
            <w:r w:rsidR="009A4DB9"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7.296</w:t>
            </w:r>
          </w:p>
        </w:tc>
      </w:tr>
    </w:tbl>
    <w:p w:rsidR="003618F0" w:rsidRPr="00642267" w:rsidRDefault="003618F0" w:rsidP="00FB4221">
      <w:pPr>
        <w:spacing w:after="0" w:line="240" w:lineRule="auto"/>
        <w:jc w:val="right"/>
        <w:rPr>
          <w:rFonts w:eastAsia="Times New Roman" w:cstheme="minorHAnsi"/>
          <w:lang w:eastAsia="hr-HR"/>
        </w:rPr>
      </w:pPr>
    </w:p>
    <w:p w:rsidR="009F4165" w:rsidRPr="00642267" w:rsidRDefault="00FB4221" w:rsidP="009F4165">
      <w:pPr>
        <w:widowControl w:val="0"/>
        <w:spacing w:after="0" w:line="240" w:lineRule="auto"/>
        <w:rPr>
          <w:rFonts w:eastAsia="Calibri" w:cstheme="minorHAnsi"/>
          <w:color w:val="FF0000"/>
        </w:rPr>
      </w:pPr>
      <w:r w:rsidRPr="00642267">
        <w:rPr>
          <w:rFonts w:eastAsia="Calibri" w:cstheme="minorHAnsi"/>
          <w:color w:val="FF0000"/>
        </w:rPr>
        <w:tab/>
      </w:r>
    </w:p>
    <w:p w:rsidR="002C22FB" w:rsidRPr="00642267" w:rsidRDefault="002C22FB" w:rsidP="002C22FB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GLAVA 10801 – UPRAVNI ODJEL ZA ZDRAVSTVO, OBITELJ I BRANITELJE</w:t>
      </w:r>
    </w:p>
    <w:p w:rsidR="002C22FB" w:rsidRPr="00642267" w:rsidRDefault="002C22FB" w:rsidP="002C22FB">
      <w:pPr>
        <w:widowControl w:val="0"/>
        <w:spacing w:after="0" w:line="240" w:lineRule="auto"/>
        <w:rPr>
          <w:rFonts w:eastAsia="Calibri" w:cstheme="minorHAnsi"/>
          <w:color w:val="FF0000"/>
        </w:rPr>
      </w:pPr>
    </w:p>
    <w:p w:rsidR="00B03D0E" w:rsidRPr="00642267" w:rsidRDefault="002C7C5A" w:rsidP="00B03D0E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PROGRAM 1</w:t>
      </w:r>
      <w:r w:rsidR="002C22FB" w:rsidRPr="00642267">
        <w:rPr>
          <w:rFonts w:eastAsia="Calibri" w:cstheme="minorHAnsi"/>
          <w:b/>
          <w:bCs/>
          <w:spacing w:val="1"/>
        </w:rPr>
        <w:t>203</w:t>
      </w:r>
      <w:r w:rsidRPr="00642267">
        <w:rPr>
          <w:rFonts w:eastAsia="Calibri" w:cstheme="minorHAnsi"/>
          <w:b/>
          <w:bCs/>
          <w:spacing w:val="1"/>
        </w:rPr>
        <w:t xml:space="preserve"> </w:t>
      </w:r>
      <w:r w:rsidR="002C22FB" w:rsidRPr="00642267">
        <w:rPr>
          <w:rFonts w:eastAsia="Calibri" w:cstheme="minorHAnsi"/>
          <w:b/>
          <w:bCs/>
          <w:spacing w:val="1"/>
        </w:rPr>
        <w:t>ZDRAVSTVO</w:t>
      </w:r>
    </w:p>
    <w:p w:rsidR="00B03D0E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p w:rsidR="0043280A" w:rsidRPr="00642267" w:rsidRDefault="0043280A" w:rsidP="0043280A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>Programom javnih potreba u zdravstvu Dubrovačko-neretvanske županije sufinanciraju se programi zdravstvene mjere ispravnosti vode za piće, provođenje mjera dezinfekcije, dezinsekcije i deratizacije,  mrtvozorstva, obdukcije i toksikološka ispitivanja, Hrvatski Crveni križ, projekte u području zdravstva, socijalne skrbi i skrbi o osobama s invaliditetom te rad Povjerenstva za zaštitu prava pacijenata.</w:t>
      </w: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POSEBNI CILJ:</w:t>
      </w:r>
      <w:r w:rsidR="001E7A70" w:rsidRPr="00642267">
        <w:rPr>
          <w:rFonts w:asciiTheme="minorHAnsi" w:hAnsiTheme="minorHAnsi" w:cstheme="minorHAnsi"/>
          <w:b/>
        </w:rPr>
        <w:t xml:space="preserve"> </w:t>
      </w:r>
      <w:r w:rsidRPr="00642267">
        <w:rPr>
          <w:rFonts w:asciiTheme="minorHAnsi" w:hAnsiTheme="minorHAnsi" w:cstheme="minorHAnsi"/>
        </w:rPr>
        <w:t>Unapređenje uvjeta za provođenje zdravstvene zaštite te uvjeta za zaštitu, očuvanje i poboljšanje zdravlja stanovništva Dubrovačko-neretvanske županije.</w:t>
      </w: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>:</w:t>
      </w:r>
    </w:p>
    <w:p w:rsidR="0043280A" w:rsidRPr="00642267" w:rsidRDefault="0043280A" w:rsidP="00943E04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lastRenderedPageBreak/>
        <w:t xml:space="preserve">Zakon o zdravstvenoj zaštiti, Pravilnik o zdravstvenoj ispravnosti vode za piće, Zakon o udrugama, Pravilnik o načinu pregleda umrlih, te utvrđivanju vremena i uzroka smrti, </w:t>
      </w:r>
      <w:r w:rsidR="00943E04" w:rsidRPr="00642267">
        <w:rPr>
          <w:rFonts w:asciiTheme="minorHAnsi" w:hAnsiTheme="minorHAnsi" w:cstheme="minorHAnsi"/>
        </w:rPr>
        <w:t xml:space="preserve">Zakon o Hrvatskom crvenom križu, </w:t>
      </w:r>
      <w:r w:rsidRPr="00642267">
        <w:rPr>
          <w:rFonts w:asciiTheme="minorHAnsi" w:hAnsiTheme="minorHAnsi" w:cstheme="minorHAnsi"/>
        </w:rPr>
        <w:t>Zakon o zaštiti prava pacijenata</w:t>
      </w:r>
      <w:r w:rsidR="006D3D7B" w:rsidRPr="00642267">
        <w:rPr>
          <w:rFonts w:asciiTheme="minorHAnsi" w:hAnsiTheme="minorHAnsi" w:cstheme="minorHAnsi"/>
        </w:rPr>
        <w:t>.</w:t>
      </w:r>
      <w:r w:rsidR="00943E04" w:rsidRPr="00642267">
        <w:rPr>
          <w:rFonts w:asciiTheme="minorHAnsi" w:hAnsiTheme="minorHAnsi" w:cstheme="minorHAnsi"/>
        </w:rPr>
        <w:t xml:space="preserve"> </w:t>
      </w:r>
    </w:p>
    <w:p w:rsidR="006D3D7B" w:rsidRPr="00642267" w:rsidRDefault="006D3D7B" w:rsidP="00943E04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6D3D7B" w:rsidRPr="00642267" w:rsidRDefault="006D3D7B" w:rsidP="00943E04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POVEZANOST PROGRAMA SA STRATEŠKIM DOKUMENTOM: </w:t>
      </w:r>
      <w:r w:rsidRPr="00642267">
        <w:rPr>
          <w:rFonts w:asciiTheme="minorHAnsi" w:hAnsiTheme="minorHAnsi" w:cstheme="minorHAnsi"/>
        </w:rPr>
        <w:t xml:space="preserve">Plan razvoja Dubrovačko-neretvanske županije do 2027., Provedbeni program Dubrovačko-neretvanske županije do 2025., Cilj 2.1. Unaprjeđenje kvalitete i dostupnosti društvenih usluga; </w:t>
      </w:r>
    </w:p>
    <w:p w:rsidR="006D3D7B" w:rsidRPr="00642267" w:rsidRDefault="006D3D7B" w:rsidP="006D3D7B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 xml:space="preserve">Mjera 2.1.2. Unaprjeđenje zdravstvenih usluga i skrbi </w:t>
      </w:r>
      <w:r w:rsidR="009C62D4" w:rsidRPr="00642267">
        <w:rPr>
          <w:rFonts w:asciiTheme="minorHAnsi" w:hAnsiTheme="minorHAnsi" w:cstheme="minorHAnsi"/>
        </w:rPr>
        <w:t>provodi se kroz</w:t>
      </w:r>
      <w:r w:rsidRPr="00642267">
        <w:rPr>
          <w:rFonts w:asciiTheme="minorHAnsi" w:hAnsiTheme="minorHAnsi" w:cstheme="minorHAnsi"/>
        </w:rPr>
        <w:t xml:space="preserve"> aktivnosti: Zdravstvene mjere ispravnosti vode za piće, Mrtvozorstva, obdukcije i toksikološka ispitivanja, Provođenje mjera dezinfekcije, dezinsekcije i deratizacije, Povjerenstvo za zaštitu prava pacijenata</w:t>
      </w:r>
      <w:r w:rsidR="007F01BF" w:rsidRPr="00642267">
        <w:rPr>
          <w:rFonts w:asciiTheme="minorHAnsi" w:hAnsiTheme="minorHAnsi" w:cstheme="minorHAnsi"/>
        </w:rPr>
        <w:t>.</w:t>
      </w:r>
    </w:p>
    <w:p w:rsidR="006D3D7B" w:rsidRPr="00642267" w:rsidRDefault="006D3D7B" w:rsidP="00943E04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Mjera 2.1.3. Osnaživanje</w:t>
      </w:r>
      <w:r w:rsidR="001A00DD" w:rsidRPr="00642267">
        <w:rPr>
          <w:rFonts w:asciiTheme="minorHAnsi" w:hAnsiTheme="minorHAnsi" w:cstheme="minorHAnsi"/>
        </w:rPr>
        <w:t xml:space="preserve"> sustava socijalne uključenosti provodi se kroz aktivnost </w:t>
      </w:r>
      <w:r w:rsidR="001A00DD" w:rsidRPr="00642267">
        <w:rPr>
          <w:rFonts w:asciiTheme="minorHAnsi" w:hAnsiTheme="minorHAnsi" w:cstheme="minorHAnsi"/>
          <w:bCs/>
        </w:rPr>
        <w:t>Projekti/programi u području zdravstva, socijalne skrbi i skrbi o osobama s invaliditetom</w:t>
      </w:r>
      <w:r w:rsidR="007F01BF" w:rsidRPr="00642267">
        <w:rPr>
          <w:rFonts w:asciiTheme="minorHAnsi" w:hAnsiTheme="minorHAnsi" w:cstheme="minorHAnsi"/>
          <w:bCs/>
        </w:rPr>
        <w:t>.</w:t>
      </w:r>
    </w:p>
    <w:p w:rsidR="0043280A" w:rsidRPr="00642267" w:rsidRDefault="0043280A" w:rsidP="0043280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 xml:space="preserve">Upravni odjel za zdravstvo, obitelj i branitelje  </w:t>
      </w: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43280A" w:rsidRPr="00642267" w:rsidRDefault="0043280A" w:rsidP="0043280A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</w:rPr>
        <w:t>Redovno isplaćena mjesečna sredstva, postignuta visoka kvaliteta vode za piće, ostvarene sve planirane akcije: dragovoljnog darivanja krvi i rada na provođenju djelatnosti prve pomoći, pružena mogućnost pacijentima da izraze svoje utiske na liječenje.</w:t>
      </w: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0773D9" w:rsidRPr="00642267" w:rsidRDefault="000773D9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0773D9" w:rsidRPr="00642267" w:rsidRDefault="000773D9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4633"/>
        <w:gridCol w:w="1266"/>
        <w:gridCol w:w="1265"/>
        <w:gridCol w:w="1234"/>
      </w:tblGrid>
      <w:tr w:rsidR="0043280A" w:rsidRPr="00642267" w:rsidTr="00067E64">
        <w:tc>
          <w:tcPr>
            <w:tcW w:w="664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33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66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65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34" w:type="dxa"/>
            <w:shd w:val="clear" w:color="auto" w:fill="F2F2F2" w:themeFill="background1" w:themeFillShade="F2"/>
          </w:tcPr>
          <w:p w:rsidR="0043280A" w:rsidRPr="00642267" w:rsidRDefault="0043280A" w:rsidP="0043280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Zdravstvene mjere ispravnosti vode za piće</w:t>
            </w:r>
          </w:p>
        </w:tc>
        <w:tc>
          <w:tcPr>
            <w:tcW w:w="1266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  <w:tc>
          <w:tcPr>
            <w:tcW w:w="1265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  <w:tc>
          <w:tcPr>
            <w:tcW w:w="1234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Mrtvozorstva, obdukcije i toksikološka ispitivanja</w:t>
            </w:r>
          </w:p>
        </w:tc>
        <w:tc>
          <w:tcPr>
            <w:tcW w:w="1266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87.597</w:t>
            </w:r>
          </w:p>
        </w:tc>
        <w:tc>
          <w:tcPr>
            <w:tcW w:w="1265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87.597</w:t>
            </w:r>
          </w:p>
        </w:tc>
        <w:tc>
          <w:tcPr>
            <w:tcW w:w="1234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87.597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Provođenje mjera dezinfekcije, dezinsekcije i deratizacije</w:t>
            </w:r>
          </w:p>
        </w:tc>
        <w:tc>
          <w:tcPr>
            <w:tcW w:w="1266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5.309</w:t>
            </w:r>
          </w:p>
        </w:tc>
        <w:tc>
          <w:tcPr>
            <w:tcW w:w="1265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5.309</w:t>
            </w:r>
          </w:p>
        </w:tc>
        <w:tc>
          <w:tcPr>
            <w:tcW w:w="1234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5.309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Hrvatski Crveni križ</w:t>
            </w:r>
          </w:p>
        </w:tc>
        <w:tc>
          <w:tcPr>
            <w:tcW w:w="1266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57.575</w:t>
            </w:r>
          </w:p>
        </w:tc>
        <w:tc>
          <w:tcPr>
            <w:tcW w:w="1265" w:type="dxa"/>
          </w:tcPr>
          <w:p w:rsidR="00067E64" w:rsidRPr="00642267" w:rsidRDefault="00067E64" w:rsidP="00067E64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57.575</w:t>
            </w:r>
          </w:p>
        </w:tc>
        <w:tc>
          <w:tcPr>
            <w:tcW w:w="1234" w:type="dxa"/>
          </w:tcPr>
          <w:p w:rsidR="00067E64" w:rsidRPr="00642267" w:rsidRDefault="00067E64" w:rsidP="00067E64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57.575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Povjerenstvo za zaštitu prava pacijenata</w:t>
            </w:r>
          </w:p>
        </w:tc>
        <w:tc>
          <w:tcPr>
            <w:tcW w:w="1266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2.654</w:t>
            </w:r>
          </w:p>
        </w:tc>
        <w:tc>
          <w:tcPr>
            <w:tcW w:w="1265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2.654</w:t>
            </w:r>
          </w:p>
        </w:tc>
        <w:tc>
          <w:tcPr>
            <w:tcW w:w="1234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2.654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Projekti/programi u području zdravstva, socijalne skrbi i skrbi o osobama s invaliditetom</w:t>
            </w:r>
          </w:p>
        </w:tc>
        <w:tc>
          <w:tcPr>
            <w:tcW w:w="1266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33.579</w:t>
            </w:r>
          </w:p>
        </w:tc>
        <w:tc>
          <w:tcPr>
            <w:tcW w:w="1265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33.579</w:t>
            </w:r>
          </w:p>
        </w:tc>
        <w:tc>
          <w:tcPr>
            <w:tcW w:w="1234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33.579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33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66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266.348</w:t>
            </w:r>
          </w:p>
        </w:tc>
        <w:tc>
          <w:tcPr>
            <w:tcW w:w="1265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266.348</w:t>
            </w:r>
          </w:p>
        </w:tc>
        <w:tc>
          <w:tcPr>
            <w:tcW w:w="1234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266.348</w:t>
            </w:r>
          </w:p>
        </w:tc>
      </w:tr>
    </w:tbl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>: Nema odstupanja.</w:t>
      </w:r>
    </w:p>
    <w:p w:rsidR="002C7C5A" w:rsidRPr="00642267" w:rsidRDefault="002C7C5A" w:rsidP="00B03D0E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03D0E" w:rsidRPr="00642267" w:rsidRDefault="00B03D0E" w:rsidP="00871D7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</w:t>
      </w:r>
      <w:r w:rsidR="00871D76" w:rsidRPr="00642267">
        <w:rPr>
          <w:rFonts w:eastAsia="Calibri" w:cstheme="minorHAnsi"/>
          <w:b/>
        </w:rPr>
        <w:t xml:space="preserve">: </w:t>
      </w:r>
      <w:r w:rsidR="003A1210" w:rsidRPr="00642267">
        <w:rPr>
          <w:rFonts w:eastAsia="Calibri" w:cstheme="minorHAnsi"/>
          <w:b/>
        </w:rPr>
        <w:t>Zdravstvene mjere praćenja ispravnosti vode za piće</w:t>
      </w:r>
      <w:r w:rsidR="003A1210" w:rsidRPr="00642267">
        <w:rPr>
          <w:rFonts w:eastAsia="Calibri" w:cstheme="minorHAnsi"/>
          <w:b/>
          <w:bCs/>
          <w:spacing w:val="-1"/>
        </w:rPr>
        <w:tab/>
      </w:r>
      <w:r w:rsidR="003A1210" w:rsidRPr="00642267">
        <w:rPr>
          <w:rFonts w:eastAsia="Calibri" w:cstheme="minorHAnsi"/>
          <w:b/>
          <w:bCs/>
          <w:spacing w:val="-1"/>
        </w:rPr>
        <w:tab/>
      </w:r>
      <w:r w:rsidR="003A1210" w:rsidRPr="00642267">
        <w:rPr>
          <w:rFonts w:eastAsia="Calibri" w:cstheme="minorHAnsi"/>
          <w:b/>
          <w:bCs/>
          <w:spacing w:val="-1"/>
        </w:rPr>
        <w:tab/>
      </w:r>
      <w:r w:rsidR="003A1210" w:rsidRPr="00642267">
        <w:rPr>
          <w:rFonts w:eastAsia="Calibri" w:cstheme="minorHAnsi"/>
          <w:b/>
          <w:bCs/>
          <w:spacing w:val="-1"/>
        </w:rPr>
        <w:tab/>
      </w:r>
    </w:p>
    <w:p w:rsidR="00400FC4" w:rsidRPr="00642267" w:rsidRDefault="00871D76" w:rsidP="00B03D0E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spacing w:val="1"/>
        </w:rPr>
        <w:t>Cilj</w:t>
      </w:r>
      <w:r w:rsidR="00B03D0E" w:rsidRPr="00642267">
        <w:rPr>
          <w:rFonts w:eastAsia="Calibri" w:cstheme="minorHAnsi"/>
          <w:b/>
          <w:spacing w:val="1"/>
        </w:rPr>
        <w:t>:</w:t>
      </w:r>
      <w:r w:rsidR="00B03D0E" w:rsidRPr="00642267">
        <w:rPr>
          <w:rFonts w:eastAsia="Calibri" w:cstheme="minorHAnsi"/>
          <w:spacing w:val="1"/>
        </w:rPr>
        <w:t xml:space="preserve"> </w:t>
      </w:r>
      <w:r w:rsidR="00400FC4" w:rsidRPr="00642267">
        <w:rPr>
          <w:rFonts w:eastAsia="Calibri" w:cstheme="minorHAnsi"/>
          <w:spacing w:val="1"/>
        </w:rPr>
        <w:tab/>
        <w:t xml:space="preserve">Zakonom </w:t>
      </w:r>
      <w:r w:rsidR="00CF1D1E" w:rsidRPr="00642267">
        <w:rPr>
          <w:rFonts w:eastAsia="Calibri" w:cstheme="minorHAnsi"/>
          <w:spacing w:val="1"/>
        </w:rPr>
        <w:t>se</w:t>
      </w:r>
      <w:r w:rsidR="00400FC4" w:rsidRPr="00642267">
        <w:rPr>
          <w:rFonts w:eastAsia="Calibri" w:cstheme="minorHAnsi"/>
          <w:spacing w:val="1"/>
        </w:rPr>
        <w:t xml:space="preserve"> </w:t>
      </w:r>
      <w:r w:rsidR="00CF1D1E" w:rsidRPr="00642267">
        <w:rPr>
          <w:rFonts w:eastAsia="Calibri" w:cstheme="minorHAnsi"/>
          <w:spacing w:val="1"/>
        </w:rPr>
        <w:t>uređuje</w:t>
      </w:r>
      <w:r w:rsidR="00400FC4" w:rsidRPr="00642267">
        <w:rPr>
          <w:rFonts w:eastAsia="Calibri" w:cstheme="minorHAnsi"/>
          <w:spacing w:val="1"/>
        </w:rPr>
        <w:t xml:space="preserve"> zdravstvena ispravnost vode za ljudsku potrošnju, nadležna tijela, načini postupanja, praćenje ispravnosti vode za ljudsku potrošnju i njihovo financiranje, a u cilju zaštite ljudskog zdravlja. Ovom se aktivnosti osiguravaju financijska </w:t>
      </w:r>
      <w:r w:rsidR="00B03D0E" w:rsidRPr="00642267">
        <w:rPr>
          <w:rFonts w:eastAsia="Calibri" w:cstheme="minorHAnsi"/>
        </w:rPr>
        <w:t>sre</w:t>
      </w:r>
      <w:r w:rsidR="00B03D0E" w:rsidRPr="00642267">
        <w:rPr>
          <w:rFonts w:eastAsia="Calibri" w:cstheme="minorHAnsi"/>
          <w:spacing w:val="1"/>
        </w:rPr>
        <w:t>d</w:t>
      </w:r>
      <w:r w:rsidR="00B03D0E" w:rsidRPr="00642267">
        <w:rPr>
          <w:rFonts w:eastAsia="Calibri" w:cstheme="minorHAnsi"/>
        </w:rPr>
        <w:t>s</w:t>
      </w:r>
      <w:r w:rsidR="00B03D0E" w:rsidRPr="00642267">
        <w:rPr>
          <w:rFonts w:eastAsia="Calibri" w:cstheme="minorHAnsi"/>
          <w:spacing w:val="1"/>
        </w:rPr>
        <w:t>t</w:t>
      </w:r>
      <w:r w:rsidR="00B03D0E" w:rsidRPr="00642267">
        <w:rPr>
          <w:rFonts w:eastAsia="Calibri" w:cstheme="minorHAnsi"/>
        </w:rPr>
        <w:t>va</w:t>
      </w:r>
      <w:r w:rsidR="00B03D0E" w:rsidRPr="00642267">
        <w:rPr>
          <w:rFonts w:eastAsia="Calibri" w:cstheme="minorHAnsi"/>
          <w:spacing w:val="27"/>
        </w:rPr>
        <w:t xml:space="preserve"> </w:t>
      </w:r>
      <w:r w:rsidR="00B03D0E" w:rsidRPr="00642267">
        <w:rPr>
          <w:rFonts w:eastAsia="Calibri" w:cstheme="minorHAnsi"/>
          <w:spacing w:val="1"/>
        </w:rPr>
        <w:t>z</w:t>
      </w:r>
      <w:r w:rsidR="00B03D0E" w:rsidRPr="00642267">
        <w:rPr>
          <w:rFonts w:eastAsia="Calibri" w:cstheme="minorHAnsi"/>
        </w:rPr>
        <w:t>a</w:t>
      </w:r>
      <w:r w:rsidRPr="00642267">
        <w:rPr>
          <w:rFonts w:eastAsia="Calibri" w:cstheme="minorHAnsi"/>
        </w:rPr>
        <w:t xml:space="preserve"> kontinuirano </w:t>
      </w:r>
      <w:r w:rsidR="00400FC4" w:rsidRPr="00642267">
        <w:rPr>
          <w:rFonts w:eastAsia="Calibri" w:cstheme="minorHAnsi"/>
        </w:rPr>
        <w:t xml:space="preserve">provođenje redovitog i revizijskog praćenja </w:t>
      </w:r>
      <w:r w:rsidRPr="00642267">
        <w:rPr>
          <w:rFonts w:eastAsia="Calibri" w:cstheme="minorHAnsi"/>
          <w:spacing w:val="1"/>
        </w:rPr>
        <w:t>ispravnosti vode za piće</w:t>
      </w:r>
      <w:r w:rsidR="00400FC4" w:rsidRPr="00642267">
        <w:rPr>
          <w:rFonts w:eastAsia="Calibri" w:cstheme="minorHAnsi"/>
          <w:spacing w:val="1"/>
        </w:rPr>
        <w:t>.</w:t>
      </w:r>
      <w:r w:rsidRPr="00642267">
        <w:rPr>
          <w:rFonts w:eastAsia="Calibri" w:cstheme="minorHAnsi"/>
          <w:spacing w:val="1"/>
        </w:rPr>
        <w:t xml:space="preserve"> </w:t>
      </w:r>
    </w:p>
    <w:p w:rsidR="00B03D0E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="00871D76" w:rsidRPr="00642267">
        <w:rPr>
          <w:rFonts w:eastAsia="Calibri" w:cstheme="minorHAnsi"/>
          <w:spacing w:val="1"/>
        </w:rPr>
        <w:t>Upravni odjel za zdravstvo, obitelj i branitelje</w:t>
      </w:r>
    </w:p>
    <w:p w:rsidR="00CF1D1E" w:rsidRPr="00642267" w:rsidRDefault="00CF1D1E" w:rsidP="00B03D0E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  <w:bCs/>
        </w:rPr>
        <w:t xml:space="preserve">Zakon o vodi za ljudsku potrošnju </w:t>
      </w:r>
    </w:p>
    <w:p w:rsidR="00871D76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pacing w:val="-2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2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-2"/>
        </w:rPr>
        <w:t>p</w:t>
      </w:r>
      <w:r w:rsidRPr="00642267">
        <w:rPr>
          <w:rFonts w:eastAsia="Calibri" w:cstheme="minorHAnsi"/>
          <w:b/>
          <w:bCs/>
          <w:spacing w:val="1"/>
        </w:rPr>
        <w:t>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</w:rPr>
        <w:t>o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="00871D76" w:rsidRPr="00642267">
        <w:rPr>
          <w:rFonts w:eastAsia="Calibri" w:cstheme="minorHAnsi"/>
          <w:spacing w:val="-2"/>
        </w:rPr>
        <w:t xml:space="preserve">Broj ispitanih uzoraka zdravstvene ispravnosti vode za piće </w:t>
      </w:r>
    </w:p>
    <w:p w:rsidR="00B02FEF" w:rsidRPr="00642267" w:rsidRDefault="00B02FEF" w:rsidP="00B03D0E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Cs/>
          <w:spacing w:val="2"/>
        </w:rPr>
        <w:t>Nema odstupanja od prošlogodišnjih projekcija.</w:t>
      </w:r>
    </w:p>
    <w:p w:rsidR="00871D76" w:rsidRPr="00642267" w:rsidRDefault="00871D76" w:rsidP="00B03D0E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</w:rPr>
      </w:pPr>
      <w:r w:rsidRPr="00642267">
        <w:rPr>
          <w:rFonts w:eastAsia="Calibri" w:cstheme="minorHAnsi"/>
          <w:b/>
          <w:bCs/>
          <w:spacing w:val="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</w:rPr>
        <w:t xml:space="preserve">: </w:t>
      </w:r>
      <w:r w:rsidR="00400FC4" w:rsidRPr="00642267">
        <w:rPr>
          <w:rFonts w:eastAsia="Calibri" w:cstheme="minorHAnsi"/>
          <w:b/>
          <w:bCs/>
          <w:spacing w:val="-3"/>
        </w:rPr>
        <w:t>Mrtvozorstva, obdukcije i toksikološka ispitivanja</w:t>
      </w:r>
    </w:p>
    <w:p w:rsidR="00400FC4" w:rsidRPr="00642267" w:rsidRDefault="00400FC4" w:rsidP="00400FC4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="00B03D0E" w:rsidRPr="00642267">
        <w:rPr>
          <w:rFonts w:eastAsia="Calibri" w:cstheme="minorHAnsi"/>
          <w:b/>
          <w:bCs/>
        </w:rPr>
        <w:t>:</w:t>
      </w:r>
      <w:r w:rsidR="00B03D0E" w:rsidRPr="00642267">
        <w:rPr>
          <w:rFonts w:eastAsia="Calibri" w:cstheme="minorHAnsi"/>
          <w:bCs/>
        </w:rPr>
        <w:t xml:space="preserve"> </w:t>
      </w:r>
      <w:r w:rsidR="00B03D0E" w:rsidRPr="00642267">
        <w:rPr>
          <w:rFonts w:eastAsia="Calibri" w:cstheme="minorHAnsi"/>
          <w:bCs/>
          <w:spacing w:val="53"/>
        </w:rPr>
        <w:t xml:space="preserve"> </w:t>
      </w:r>
      <w:r w:rsidR="00CF1D1E" w:rsidRPr="00642267">
        <w:rPr>
          <w:rFonts w:eastAsia="Calibri" w:cstheme="minorHAnsi"/>
        </w:rPr>
        <w:t>Županija u svom proračunu, sukladno zakonskim odredbama, osigurava sredstva za provođenje aktivnosti mrtvozorstva, obdukcije i toksikoloških ispitivanja</w:t>
      </w:r>
    </w:p>
    <w:p w:rsidR="00E0300C" w:rsidRPr="00642267" w:rsidRDefault="00E0300C" w:rsidP="00E030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lastRenderedPageBreak/>
        <w:t xml:space="preserve">U Dubrovačko-neretvanskoj županiji stalno djeluje 39 ovlaštenih mrtvozornika i kontinuirano se </w:t>
      </w:r>
      <w:r w:rsidRPr="00642267">
        <w:rPr>
          <w:rFonts w:eastAsia="Calibri" w:cstheme="minorHAnsi"/>
        </w:rPr>
        <w:t xml:space="preserve">provode zakonske aktivnosti. </w:t>
      </w:r>
    </w:p>
    <w:p w:rsidR="00CF1D1E" w:rsidRPr="00642267" w:rsidRDefault="00CF1D1E" w:rsidP="00CF1D1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CF1D1E" w:rsidRPr="00642267" w:rsidRDefault="00CF1D1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zdravstvenoj zaštiti, Pravilnik o načinu pregleda umrlih te utvrđivanju vremena i uzroka smrti</w:t>
      </w:r>
    </w:p>
    <w:p w:rsidR="00B03D0E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="00CF1D1E" w:rsidRPr="00642267">
        <w:rPr>
          <w:rFonts w:eastAsia="Calibri" w:cstheme="minorHAnsi"/>
          <w:bCs/>
        </w:rPr>
        <w:t xml:space="preserve">broj izvršenih očevida i riješenih predmeta </w:t>
      </w:r>
    </w:p>
    <w:p w:rsidR="00B02FEF" w:rsidRPr="00642267" w:rsidRDefault="00B02FEF" w:rsidP="00B02FEF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Cs/>
          <w:spacing w:val="2"/>
        </w:rPr>
        <w:t>Nema odstupanja od prošlogodišnjih projekcija.</w:t>
      </w:r>
    </w:p>
    <w:p w:rsidR="0079262B" w:rsidRPr="00642267" w:rsidRDefault="0079262B" w:rsidP="00B03D0E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</w:rPr>
      </w:pPr>
      <w:r w:rsidRPr="00642267">
        <w:rPr>
          <w:rFonts w:cstheme="minorHAnsi"/>
          <w:b/>
          <w:bCs/>
          <w:spacing w:val="1"/>
        </w:rPr>
        <w:t>A</w:t>
      </w:r>
      <w:r w:rsidRPr="00642267">
        <w:rPr>
          <w:rFonts w:cstheme="minorHAnsi"/>
          <w:b/>
          <w:bCs/>
        </w:rPr>
        <w:t>k</w:t>
      </w:r>
      <w:r w:rsidRPr="00642267">
        <w:rPr>
          <w:rFonts w:cstheme="minorHAnsi"/>
          <w:b/>
          <w:bCs/>
          <w:spacing w:val="1"/>
        </w:rPr>
        <w:t>ti</w:t>
      </w:r>
      <w:r w:rsidRPr="00642267">
        <w:rPr>
          <w:rFonts w:cstheme="minorHAnsi"/>
          <w:b/>
          <w:bCs/>
          <w:spacing w:val="-1"/>
        </w:rPr>
        <w:t>v</w:t>
      </w:r>
      <w:r w:rsidRPr="00642267">
        <w:rPr>
          <w:rFonts w:cstheme="minorHAnsi"/>
          <w:b/>
          <w:bCs/>
          <w:spacing w:val="1"/>
        </w:rPr>
        <w:t>n</w:t>
      </w:r>
      <w:r w:rsidRPr="00642267">
        <w:rPr>
          <w:rFonts w:cstheme="minorHAnsi"/>
          <w:b/>
          <w:bCs/>
          <w:spacing w:val="-2"/>
        </w:rPr>
        <w:t>o</w:t>
      </w:r>
      <w:r w:rsidRPr="00642267">
        <w:rPr>
          <w:rFonts w:cstheme="minorHAnsi"/>
          <w:b/>
          <w:bCs/>
        </w:rPr>
        <w:t>s</w:t>
      </w:r>
      <w:r w:rsidRPr="00642267">
        <w:rPr>
          <w:rFonts w:cstheme="minorHAnsi"/>
          <w:b/>
          <w:bCs/>
          <w:spacing w:val="1"/>
        </w:rPr>
        <w:t>t</w:t>
      </w:r>
      <w:r w:rsidRPr="00642267">
        <w:rPr>
          <w:rFonts w:cstheme="minorHAnsi"/>
          <w:b/>
          <w:bCs/>
        </w:rPr>
        <w:t>:</w:t>
      </w:r>
      <w:r w:rsidRPr="00642267">
        <w:rPr>
          <w:rFonts w:cstheme="minorHAnsi"/>
          <w:b/>
          <w:bCs/>
          <w:spacing w:val="1"/>
        </w:rPr>
        <w:t xml:space="preserve"> </w:t>
      </w:r>
      <w:r w:rsidR="00715102" w:rsidRPr="00642267">
        <w:rPr>
          <w:rFonts w:cstheme="minorHAnsi"/>
          <w:b/>
          <w:bCs/>
          <w:spacing w:val="-2"/>
        </w:rPr>
        <w:t>Provođenje mjera dezinfekcije, dezinsekcije i deratizacije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odredbama, osigurava sredstva za provođenje aktivnosti </w:t>
      </w:r>
      <w:r w:rsidR="009E1E07" w:rsidRPr="00642267">
        <w:rPr>
          <w:rFonts w:eastAsia="Calibri" w:cstheme="minorHAnsi"/>
        </w:rPr>
        <w:t>mjera dezinfekcije, dezinsekcije i deratizacije</w:t>
      </w:r>
    </w:p>
    <w:p w:rsidR="00E0300C" w:rsidRPr="00642267" w:rsidRDefault="00E0300C" w:rsidP="00E030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t>Mjere su planirane za provođenje u drugoj polovici godine.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 xml:space="preserve">Zakon o </w:t>
      </w:r>
      <w:r w:rsidR="0059649F" w:rsidRPr="00642267">
        <w:rPr>
          <w:rFonts w:eastAsia="Calibri" w:cstheme="minorHAnsi"/>
        </w:rPr>
        <w:t>zaštiti pučanstva od zaraznih bolesti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="00E0300C" w:rsidRPr="00642267">
        <w:rPr>
          <w:rFonts w:eastAsia="Calibri" w:cstheme="minorHAnsi"/>
          <w:bCs/>
        </w:rPr>
        <w:t>broj provedenih mjera</w:t>
      </w:r>
      <w:r w:rsidRPr="00642267">
        <w:rPr>
          <w:rFonts w:eastAsia="Calibri" w:cstheme="minorHAnsi"/>
          <w:bCs/>
        </w:rPr>
        <w:t xml:space="preserve"> </w:t>
      </w:r>
    </w:p>
    <w:p w:rsidR="00715102" w:rsidRPr="00642267" w:rsidRDefault="00E0300C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B03D0E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</w:rPr>
      </w:pPr>
      <w:r w:rsidRPr="00642267">
        <w:rPr>
          <w:rFonts w:eastAsia="Calibri" w:cstheme="minorHAnsi"/>
          <w:b/>
          <w:bCs/>
          <w:spacing w:val="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</w:rPr>
        <w:t xml:space="preserve">: </w:t>
      </w:r>
      <w:r w:rsidR="00715102" w:rsidRPr="00642267">
        <w:rPr>
          <w:rFonts w:eastAsia="Calibri" w:cstheme="minorHAnsi"/>
          <w:b/>
          <w:bCs/>
          <w:spacing w:val="-1"/>
        </w:rPr>
        <w:t>Hrvatski crveni križ</w:t>
      </w:r>
    </w:p>
    <w:p w:rsidR="00E0300C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</w:t>
      </w:r>
      <w:r w:rsidR="009E1E07" w:rsidRPr="00642267">
        <w:rPr>
          <w:rFonts w:eastAsia="Calibri" w:cstheme="minorHAnsi"/>
        </w:rPr>
        <w:t>,</w:t>
      </w:r>
      <w:r w:rsidRPr="00642267">
        <w:rPr>
          <w:rFonts w:eastAsia="Calibri" w:cstheme="minorHAnsi"/>
        </w:rPr>
        <w:t xml:space="preserve"> sukladno zakonskim odredbama</w:t>
      </w:r>
      <w:r w:rsidR="009E1E07" w:rsidRPr="00642267">
        <w:rPr>
          <w:rFonts w:eastAsia="Calibri" w:cstheme="minorHAnsi"/>
        </w:rPr>
        <w:t>,</w:t>
      </w:r>
      <w:r w:rsidRPr="00642267">
        <w:rPr>
          <w:rFonts w:eastAsia="Calibri" w:cstheme="minorHAnsi"/>
        </w:rPr>
        <w:t xml:space="preserve"> osigurava sredstva za </w:t>
      </w:r>
      <w:r w:rsidR="009E1E07" w:rsidRPr="00642267">
        <w:rPr>
          <w:rFonts w:eastAsia="Calibri" w:cstheme="minorHAnsi"/>
        </w:rPr>
        <w:t>djelovanje Hrvatskog crvenog križa</w:t>
      </w:r>
      <w:r w:rsidR="00E0300C" w:rsidRPr="00642267">
        <w:rPr>
          <w:rFonts w:eastAsia="Calibri" w:cstheme="minorHAnsi"/>
        </w:rPr>
        <w:t>.</w:t>
      </w:r>
      <w:r w:rsidR="00E0300C" w:rsidRPr="00642267">
        <w:rPr>
          <w:rFonts w:eastAsia="Calibri" w:cstheme="minorHAnsi"/>
          <w:spacing w:val="1"/>
        </w:rPr>
        <w:t xml:space="preserve"> </w:t>
      </w:r>
    </w:p>
    <w:p w:rsidR="00715102" w:rsidRPr="00642267" w:rsidRDefault="00E0300C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t>Iz proračuna DNŽ se sukladno zakonskoj osnovi isplaćuju planirana sredstva. Hrvatski crveni križ Dubrovačko-neretvanske županije je u ovoj kriznoj situaciji pandemije COVID-19 preuzeo obvezu opskrbe namirnicama stanovnika starije životne dobi i ugroženih skupina, također je odradio planirane akcije poput: dragovoljnog darivanja krvi i rada na provođenju djelatnosti prve pomoći.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Hrvatskom crvenom križu, Pravilnik o načinu i rokovima plaćanja sredstava iz prihoda JLP(R)</w:t>
      </w:r>
      <w:r w:rsidR="009E1E07" w:rsidRPr="00642267">
        <w:rPr>
          <w:rFonts w:eastAsia="Calibri" w:cstheme="minorHAnsi"/>
        </w:rPr>
        <w:t>S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="009E1E07" w:rsidRPr="00642267">
        <w:rPr>
          <w:rFonts w:eastAsia="Calibri" w:cstheme="minorHAnsi"/>
          <w:bCs/>
        </w:rPr>
        <w:t xml:space="preserve">redovito isplaćena mjesečna sredstva i odrađene aktivnosti </w:t>
      </w:r>
    </w:p>
    <w:p w:rsidR="00E0300C" w:rsidRPr="00642267" w:rsidRDefault="00E0300C" w:rsidP="00E030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</w:rPr>
      </w:pPr>
      <w:r w:rsidRPr="00642267">
        <w:rPr>
          <w:rFonts w:eastAsia="Calibri" w:cstheme="minorHAnsi"/>
          <w:b/>
          <w:bCs/>
          <w:spacing w:val="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</w:rPr>
        <w:t xml:space="preserve">: </w:t>
      </w:r>
      <w:r w:rsidR="009E1E07" w:rsidRPr="00642267">
        <w:rPr>
          <w:rFonts w:eastAsia="Calibri" w:cstheme="minorHAnsi"/>
          <w:b/>
          <w:bCs/>
          <w:spacing w:val="-3"/>
        </w:rPr>
        <w:t>Povjerenstvo za zaštitu prava pacijenata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 sukladno zakonskim odredbama osigurava sredstva za djelovanje Povjerenstva za zaštitu prava pacijenata u DNŽ</w:t>
      </w:r>
    </w:p>
    <w:p w:rsidR="00E0300C" w:rsidRPr="00642267" w:rsidRDefault="00E0300C" w:rsidP="009E1E0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 xml:space="preserve">Povjerenstvo za zaštitu prava pacijenata zaprima i uspješno rješava prigovore odnosno zahtjeve pacijenata. 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zaštiti prava pacijenata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riješeni predmeti </w:t>
      </w:r>
    </w:p>
    <w:p w:rsidR="009E1E07" w:rsidRPr="00642267" w:rsidRDefault="00E0300C" w:rsidP="009E1E0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B03D0E" w:rsidRPr="00642267" w:rsidRDefault="00B03D0E" w:rsidP="00B03D0E">
      <w:pPr>
        <w:widowControl w:val="0"/>
        <w:spacing w:after="0" w:line="240" w:lineRule="auto"/>
        <w:jc w:val="center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>Aktivnost: P</w:t>
      </w:r>
      <w:r w:rsidR="00F1347E" w:rsidRPr="00642267">
        <w:rPr>
          <w:rFonts w:eastAsia="Calibri" w:cstheme="minorHAnsi"/>
          <w:b/>
          <w:bCs/>
        </w:rPr>
        <w:t>rojekti/programi u području zdravstva</w:t>
      </w:r>
      <w:r w:rsidR="00C96093" w:rsidRPr="00642267">
        <w:rPr>
          <w:rFonts w:eastAsia="Calibri" w:cstheme="minorHAnsi"/>
          <w:b/>
          <w:bCs/>
        </w:rPr>
        <w:t>, socijalne skrbi i skrbi o osobama s invaliditetom</w:t>
      </w:r>
      <w:r w:rsidR="00F1347E" w:rsidRPr="00642267">
        <w:rPr>
          <w:rFonts w:eastAsia="Calibri" w:cstheme="minorHAnsi"/>
          <w:b/>
          <w:bCs/>
        </w:rPr>
        <w:t xml:space="preserve"> 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osigurava sredstva za </w:t>
      </w:r>
      <w:r w:rsidR="0059649F" w:rsidRPr="00642267">
        <w:rPr>
          <w:rFonts w:eastAsia="Calibri" w:cstheme="minorHAnsi"/>
        </w:rPr>
        <w:t>unapređenje i poboljšanje kvalitete života i socijalnog standarda stanovnika Dubrovačko-neretvanske županije putem zahtjeva, programa i projekata</w:t>
      </w:r>
      <w:r w:rsidRPr="00642267">
        <w:rPr>
          <w:rFonts w:eastAsia="Calibri" w:cstheme="minorHAnsi"/>
        </w:rPr>
        <w:t xml:space="preserve"> </w:t>
      </w:r>
    </w:p>
    <w:p w:rsidR="00E0300C" w:rsidRPr="00642267" w:rsidRDefault="00E0300C" w:rsidP="00E030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sukladno zakonskoj osnovi isplaćuju planirana sredstva temeljem Ugovora o financiranju s podnositeljima zahtjeva.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0F519C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0F519C" w:rsidRPr="00642267">
        <w:rPr>
          <w:rFonts w:eastAsia="Calibri" w:cstheme="minorHAnsi"/>
        </w:rPr>
        <w:t xml:space="preserve">Zakon o socijalnoj skrbi, Zakon o ustanovama, </w:t>
      </w:r>
      <w:r w:rsidR="008C71FC" w:rsidRPr="00642267">
        <w:rPr>
          <w:rFonts w:eastAsia="Calibri" w:cstheme="minorHAnsi"/>
        </w:rPr>
        <w:t xml:space="preserve">Zakon o udrugama, </w:t>
      </w:r>
      <w:r w:rsidR="000F519C" w:rsidRPr="00642267">
        <w:rPr>
          <w:rFonts w:eastAsia="Calibri" w:cstheme="minorHAnsi"/>
        </w:rPr>
        <w:t xml:space="preserve">Nacionalna strategija izjednačavanja mogućnosti za osobe s invaliditetom 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isplaćena sredstva </w:t>
      </w:r>
      <w:r w:rsidR="000F519C" w:rsidRPr="00642267">
        <w:rPr>
          <w:rFonts w:eastAsia="Calibri" w:cstheme="minorHAnsi"/>
          <w:bCs/>
        </w:rPr>
        <w:t>prema zaprimljenim projektima/programima.</w:t>
      </w:r>
    </w:p>
    <w:p w:rsidR="00E0300C" w:rsidRPr="00642267" w:rsidRDefault="00E0300C" w:rsidP="00E030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E0300C" w:rsidRPr="00642267" w:rsidRDefault="00E0300C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C96093" w:rsidRPr="00642267" w:rsidRDefault="00C96093" w:rsidP="00C9609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PROGRAM 1204 SOCIJALNA SKRB</w:t>
      </w:r>
    </w:p>
    <w:p w:rsidR="00C96093" w:rsidRPr="00642267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p w:rsidR="007F015A" w:rsidRPr="00642267" w:rsidRDefault="007F015A" w:rsidP="007F015A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>Programom javnih potreba u socijalnoj skrbi Dubrovačko-neretvanske županije osigurana su sredstva za jednokratne novčane naknade socijalno-ugroženim osobama, unapređenje socijalne zaštite i dnevni boravak za psihički oboljele osobe.</w:t>
      </w:r>
    </w:p>
    <w:p w:rsidR="007F015A" w:rsidRPr="00642267" w:rsidRDefault="007F015A" w:rsidP="00067E64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POSEBNI CILJ:</w:t>
      </w:r>
      <w:r w:rsidR="00067E64" w:rsidRPr="00642267">
        <w:rPr>
          <w:rFonts w:asciiTheme="minorHAnsi" w:hAnsiTheme="minorHAnsi" w:cstheme="minorHAnsi"/>
          <w:b/>
        </w:rPr>
        <w:t xml:space="preserve"> </w:t>
      </w:r>
      <w:r w:rsidRPr="00642267">
        <w:rPr>
          <w:rFonts w:asciiTheme="minorHAnsi" w:hAnsiTheme="minorHAnsi" w:cstheme="minorHAnsi"/>
        </w:rPr>
        <w:t>Unapređenje poboljšanja socijalnog standarda stanovnika Dubrovačko-neretvanske županije putem zahtjeva i programa.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>:</w:t>
      </w:r>
    </w:p>
    <w:p w:rsidR="00E96646" w:rsidRPr="00642267" w:rsidRDefault="007F015A" w:rsidP="00E96646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 xml:space="preserve">Zakon o socijalnoj skrbi, Zakon o ustanovama, </w:t>
      </w:r>
      <w:r w:rsidR="008C71FC" w:rsidRPr="00642267">
        <w:rPr>
          <w:rFonts w:asciiTheme="minorHAnsi" w:hAnsiTheme="minorHAnsi" w:cstheme="minorHAnsi"/>
        </w:rPr>
        <w:t xml:space="preserve">Zakon o udrugama, </w:t>
      </w:r>
      <w:r w:rsidRPr="00642267">
        <w:rPr>
          <w:rFonts w:asciiTheme="minorHAnsi" w:hAnsiTheme="minorHAnsi" w:cstheme="minorHAnsi"/>
        </w:rPr>
        <w:t>Nacionalna strategija izjednačavanja mogućnosti za osobe s invaliditetom</w:t>
      </w:r>
      <w:r w:rsidR="001A00DD" w:rsidRPr="00642267">
        <w:rPr>
          <w:rFonts w:asciiTheme="minorHAnsi" w:hAnsiTheme="minorHAnsi" w:cstheme="minorHAnsi"/>
        </w:rPr>
        <w:t>.</w:t>
      </w:r>
      <w:r w:rsidR="00E96646" w:rsidRPr="00642267">
        <w:rPr>
          <w:rFonts w:asciiTheme="minorHAnsi" w:hAnsiTheme="minorHAnsi" w:cstheme="minorHAnsi"/>
        </w:rPr>
        <w:t xml:space="preserve"> </w:t>
      </w:r>
    </w:p>
    <w:p w:rsidR="007F015A" w:rsidRPr="00642267" w:rsidRDefault="007F015A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6D3D7B" w:rsidRPr="00642267" w:rsidRDefault="006D3D7B" w:rsidP="001A00DD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1A00DD" w:rsidRPr="00642267">
        <w:rPr>
          <w:rFonts w:asciiTheme="minorHAnsi" w:hAnsiTheme="minorHAnsi" w:cstheme="minorHAnsi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 provodi se kroz aktivnosti: Jednokratne novčane naknade socijalno ugroženim osobama, Unapređenje socijalne zaštite, Dnevni boravak za psihički oboljele osobe.</w:t>
      </w:r>
    </w:p>
    <w:p w:rsidR="001A00DD" w:rsidRPr="00642267" w:rsidRDefault="001A00DD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 xml:space="preserve">Pokazatelj uspješnosti su podaci o osobama uključenim u programe, broj dodijeljenih novčanih pomoći građanima koji ostvaruju pravo, broj ustanova čiji se programi sufinanciraju te broj korisnika. 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6"/>
        <w:gridCol w:w="4652"/>
        <w:gridCol w:w="1259"/>
        <w:gridCol w:w="1258"/>
        <w:gridCol w:w="1227"/>
      </w:tblGrid>
      <w:tr w:rsidR="007F015A" w:rsidRPr="00642267" w:rsidTr="00FC144C">
        <w:trPr>
          <w:cantSplit/>
        </w:trPr>
        <w:tc>
          <w:tcPr>
            <w:tcW w:w="666" w:type="dxa"/>
            <w:shd w:val="clear" w:color="auto" w:fill="F2F2F2" w:themeFill="background1" w:themeFillShade="F2"/>
          </w:tcPr>
          <w:p w:rsidR="007F015A" w:rsidRPr="00642267" w:rsidRDefault="007F015A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52" w:type="dxa"/>
            <w:shd w:val="clear" w:color="auto" w:fill="F2F2F2" w:themeFill="background1" w:themeFillShade="F2"/>
          </w:tcPr>
          <w:p w:rsidR="007F015A" w:rsidRPr="00642267" w:rsidRDefault="007F015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27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067E64" w:rsidRPr="00642267" w:rsidTr="00FC144C">
        <w:trPr>
          <w:cantSplit/>
        </w:trPr>
        <w:tc>
          <w:tcPr>
            <w:tcW w:w="666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652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Jednokratne novčane naknade socijalno ugroženim osobama</w:t>
            </w:r>
          </w:p>
        </w:tc>
        <w:tc>
          <w:tcPr>
            <w:tcW w:w="1259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26.545</w:t>
            </w:r>
          </w:p>
        </w:tc>
        <w:tc>
          <w:tcPr>
            <w:tcW w:w="1258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26.545</w:t>
            </w:r>
          </w:p>
        </w:tc>
        <w:tc>
          <w:tcPr>
            <w:tcW w:w="1227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26.545</w:t>
            </w:r>
          </w:p>
        </w:tc>
      </w:tr>
      <w:tr w:rsidR="00067E64" w:rsidRPr="00642267" w:rsidTr="00FC144C">
        <w:trPr>
          <w:cantSplit/>
        </w:trPr>
        <w:tc>
          <w:tcPr>
            <w:tcW w:w="666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652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Unapređenje socijalne zaštite</w:t>
            </w:r>
          </w:p>
        </w:tc>
        <w:tc>
          <w:tcPr>
            <w:tcW w:w="1259" w:type="dxa"/>
          </w:tcPr>
          <w:p w:rsidR="00067E64" w:rsidRPr="00642267" w:rsidRDefault="00A74B33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22.562</w:t>
            </w:r>
          </w:p>
        </w:tc>
        <w:tc>
          <w:tcPr>
            <w:tcW w:w="1258" w:type="dxa"/>
          </w:tcPr>
          <w:p w:rsidR="00067E64" w:rsidRPr="00642267" w:rsidRDefault="00A74B33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22.562</w:t>
            </w:r>
          </w:p>
        </w:tc>
        <w:tc>
          <w:tcPr>
            <w:tcW w:w="1227" w:type="dxa"/>
          </w:tcPr>
          <w:p w:rsidR="00067E64" w:rsidRPr="00642267" w:rsidRDefault="00A74B33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22.562</w:t>
            </w:r>
          </w:p>
        </w:tc>
      </w:tr>
      <w:tr w:rsidR="00067E64" w:rsidRPr="00642267" w:rsidTr="00FC144C">
        <w:trPr>
          <w:cantSplit/>
        </w:trPr>
        <w:tc>
          <w:tcPr>
            <w:tcW w:w="666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4652" w:type="dxa"/>
          </w:tcPr>
          <w:p w:rsidR="00067E64" w:rsidRPr="00642267" w:rsidRDefault="009F4165" w:rsidP="009F416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Dnevni boravak za psihički</w:t>
            </w:r>
            <w:r w:rsidR="00067E64" w:rsidRPr="00642267">
              <w:rPr>
                <w:rFonts w:asciiTheme="minorHAnsi" w:hAnsiTheme="minorHAnsi" w:cstheme="minorHAnsi"/>
                <w:sz w:val="22"/>
                <w:szCs w:val="22"/>
              </w:rPr>
              <w:t xml:space="preserve"> oboljele osobe</w:t>
            </w:r>
          </w:p>
        </w:tc>
        <w:tc>
          <w:tcPr>
            <w:tcW w:w="1259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58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27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</w:tr>
      <w:tr w:rsidR="00067E64" w:rsidRPr="00642267" w:rsidTr="00FC144C">
        <w:trPr>
          <w:cantSplit/>
        </w:trPr>
        <w:tc>
          <w:tcPr>
            <w:tcW w:w="666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52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59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59.725</w:t>
            </w:r>
          </w:p>
        </w:tc>
        <w:tc>
          <w:tcPr>
            <w:tcW w:w="1258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59.725</w:t>
            </w:r>
          </w:p>
        </w:tc>
        <w:tc>
          <w:tcPr>
            <w:tcW w:w="1227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59.725</w:t>
            </w:r>
          </w:p>
        </w:tc>
      </w:tr>
    </w:tbl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Nema odstupanja.</w:t>
      </w:r>
    </w:p>
    <w:p w:rsidR="00C96093" w:rsidRPr="00642267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03D0E" w:rsidRPr="00642267" w:rsidRDefault="00C96093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>Aktivnost: Jednokratne novčane naknade socijalno-ugroženim osobama</w:t>
      </w:r>
    </w:p>
    <w:p w:rsidR="007F015A" w:rsidRPr="00642267" w:rsidRDefault="00C96093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</w:t>
      </w:r>
      <w:r w:rsidR="00D55063" w:rsidRPr="00642267">
        <w:rPr>
          <w:rFonts w:eastAsia="Calibri" w:cstheme="minorHAnsi"/>
        </w:rPr>
        <w:t xml:space="preserve">i odlukama </w:t>
      </w:r>
      <w:r w:rsidRPr="00642267">
        <w:rPr>
          <w:rFonts w:eastAsia="Calibri" w:cstheme="minorHAnsi"/>
        </w:rPr>
        <w:t>osigurava sredstva za programe pomoći osobama sa socijalno-zdravstvenim potrebama u cilju unapređenja i poboljšanja socijalnog standarda stanovnika DNŽ.</w:t>
      </w:r>
      <w:r w:rsidR="007F015A" w:rsidRPr="00642267">
        <w:rPr>
          <w:rFonts w:eastAsia="Calibri" w:cstheme="minorHAnsi"/>
          <w:spacing w:val="1"/>
        </w:rPr>
        <w:t xml:space="preserve"> </w:t>
      </w:r>
    </w:p>
    <w:p w:rsidR="007F015A" w:rsidRPr="00642267" w:rsidRDefault="007F015A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planirana sredstva za jednokratne pomoći doznačuju se po dostavljenim zahtjevima. Aktivnost se kontinuirao provodi.</w:t>
      </w:r>
    </w:p>
    <w:p w:rsidR="00C96093" w:rsidRPr="00642267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C96093" w:rsidRPr="00642267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socijalnoj skrbi</w:t>
      </w:r>
      <w:r w:rsidR="00D55063" w:rsidRPr="00642267">
        <w:rPr>
          <w:rFonts w:eastAsia="Calibri" w:cstheme="minorHAnsi"/>
        </w:rPr>
        <w:t>, odluke</w:t>
      </w:r>
    </w:p>
    <w:p w:rsidR="00C96093" w:rsidRPr="00642267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 xml:space="preserve">broj riješenih zahtjeva, isplaćena sredstva </w:t>
      </w:r>
    </w:p>
    <w:p w:rsidR="007F015A" w:rsidRPr="00642267" w:rsidRDefault="007F015A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7F015A" w:rsidRPr="00642267" w:rsidRDefault="007F015A" w:rsidP="00C96093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Aktivnost: </w:t>
      </w:r>
      <w:r w:rsidR="00C96093" w:rsidRPr="00642267">
        <w:rPr>
          <w:rFonts w:eastAsia="Calibri" w:cstheme="minorHAnsi"/>
          <w:b/>
          <w:bCs/>
        </w:rPr>
        <w:t>Unapređenje socijalne zaštite</w:t>
      </w:r>
    </w:p>
    <w:p w:rsidR="007F015A" w:rsidRPr="00642267" w:rsidRDefault="00D55063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i odlukama osigurava sredstva za </w:t>
      </w:r>
      <w:r w:rsidRPr="00642267">
        <w:rPr>
          <w:rFonts w:eastAsia="Calibri" w:cstheme="minorHAnsi"/>
        </w:rPr>
        <w:lastRenderedPageBreak/>
        <w:t>programe pomoći osobama sa socijalno-zdravstvenim potrebama i udrugama koje pridonose unapređenju i poboljšanju socijalnog standarda stanovnika DNŽ.</w:t>
      </w:r>
      <w:r w:rsidR="007F015A" w:rsidRPr="00642267">
        <w:rPr>
          <w:rFonts w:eastAsia="Calibri" w:cstheme="minorHAnsi"/>
          <w:spacing w:val="1"/>
        </w:rPr>
        <w:t xml:space="preserve"> </w:t>
      </w:r>
    </w:p>
    <w:p w:rsidR="007F015A" w:rsidRPr="00642267" w:rsidRDefault="007F015A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u svrhu sufinanciranja aktivnosti.</w:t>
      </w:r>
    </w:p>
    <w:p w:rsidR="00D55063" w:rsidRPr="00642267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D55063" w:rsidRPr="00642267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 xml:space="preserve">Zakon o socijalnoj skrbi, </w:t>
      </w:r>
      <w:r w:rsidR="005746B9" w:rsidRPr="00642267">
        <w:rPr>
          <w:rFonts w:eastAsia="Calibri" w:cstheme="minorHAnsi"/>
        </w:rPr>
        <w:t xml:space="preserve">Zakon o ustanovama, </w:t>
      </w:r>
      <w:r w:rsidR="008C71FC" w:rsidRPr="00642267">
        <w:rPr>
          <w:rFonts w:cstheme="minorHAnsi"/>
        </w:rPr>
        <w:t xml:space="preserve">Zakon o udrugama, </w:t>
      </w:r>
      <w:r w:rsidRPr="00642267">
        <w:rPr>
          <w:rFonts w:eastAsia="Calibri" w:cstheme="minorHAnsi"/>
        </w:rPr>
        <w:t>Nacionalna strategija izjednačavanja mogućnosti za osobe s invaliditetom, odluke</w:t>
      </w:r>
    </w:p>
    <w:p w:rsidR="00D55063" w:rsidRPr="00642267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A84BE3" w:rsidRPr="00642267">
        <w:rPr>
          <w:rFonts w:eastAsia="Calibri" w:cstheme="minorHAnsi"/>
          <w:bCs/>
        </w:rPr>
        <w:t>Broj riješenih zahtjeva, zadovoljstvo korisnika s radom stručnih službi.</w:t>
      </w:r>
    </w:p>
    <w:p w:rsidR="007F015A" w:rsidRPr="00642267" w:rsidRDefault="007F015A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</w:rPr>
      </w:pPr>
    </w:p>
    <w:p w:rsidR="00B03D0E" w:rsidRPr="00642267" w:rsidRDefault="00A84BE3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Aktivnost: Dnevni boravak za </w:t>
      </w:r>
      <w:r w:rsidR="007F6789" w:rsidRPr="00642267">
        <w:rPr>
          <w:rFonts w:eastAsia="Calibri" w:cstheme="minorHAnsi"/>
          <w:b/>
          <w:bCs/>
        </w:rPr>
        <w:t>psihički</w:t>
      </w:r>
      <w:r w:rsidRPr="00642267">
        <w:rPr>
          <w:rFonts w:eastAsia="Calibri" w:cstheme="minorHAnsi"/>
          <w:b/>
          <w:bCs/>
        </w:rPr>
        <w:t xml:space="preserve"> oboljele osobe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osigurava sredstva za programe pomoći osobama sa socijalno-zdravstvenim potrebama i udrugama koje pridonose unapređenju i poboljšanju socijalnog standarda stanovnika DNŽ.</w:t>
      </w:r>
    </w:p>
    <w:p w:rsidR="007F015A" w:rsidRPr="00642267" w:rsidRDefault="007F015A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 ustanova temeljem Ugovora o financiranju, odnosno podnositelja zahtjeva.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socijalnoj skrbi, Z</w:t>
      </w:r>
      <w:r w:rsidR="007F6789" w:rsidRPr="00642267">
        <w:rPr>
          <w:rFonts w:eastAsia="Calibri" w:cstheme="minorHAnsi"/>
        </w:rPr>
        <w:t>akon o u</w:t>
      </w:r>
      <w:r w:rsidRPr="00642267">
        <w:rPr>
          <w:rFonts w:eastAsia="Calibri" w:cstheme="minorHAnsi"/>
        </w:rPr>
        <w:t xml:space="preserve">stanovama, </w:t>
      </w:r>
      <w:r w:rsidR="008C71FC" w:rsidRPr="00642267">
        <w:rPr>
          <w:rFonts w:cstheme="minorHAnsi"/>
        </w:rPr>
        <w:t xml:space="preserve">Zakon o udrugama, </w:t>
      </w:r>
      <w:r w:rsidRPr="00642267">
        <w:rPr>
          <w:rFonts w:eastAsia="Calibri" w:cstheme="minorHAnsi"/>
        </w:rPr>
        <w:t>Nacionalna strategija izjednačavanja mogućnosti za osobe s invaliditetom, odluke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>Broj riješenih zahtjeva, broj korisnika uključenih u radno okupacionu terapiju.</w:t>
      </w:r>
    </w:p>
    <w:p w:rsidR="00A84BE3" w:rsidRPr="00642267" w:rsidRDefault="007F015A" w:rsidP="00A84BE3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A84BE3" w:rsidRPr="00642267" w:rsidRDefault="00A84BE3" w:rsidP="00B03D0E">
      <w:pPr>
        <w:widowControl w:val="0"/>
        <w:spacing w:after="0" w:line="240" w:lineRule="auto"/>
        <w:rPr>
          <w:rFonts w:eastAsia="Calibri" w:cstheme="minorHAnsi"/>
          <w:b/>
          <w:bCs/>
          <w:u w:val="single" w:color="000000"/>
        </w:rPr>
      </w:pPr>
    </w:p>
    <w:p w:rsidR="00B03D0E" w:rsidRPr="00642267" w:rsidRDefault="00A84BE3" w:rsidP="00FC144C">
      <w:pPr>
        <w:keepNext/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PROGRAM 1205</w:t>
      </w:r>
      <w:r w:rsidR="00B03D0E" w:rsidRPr="00642267">
        <w:rPr>
          <w:rFonts w:eastAsia="Calibri" w:cstheme="minorHAnsi"/>
          <w:b/>
          <w:bCs/>
        </w:rPr>
        <w:t xml:space="preserve"> </w:t>
      </w:r>
      <w:r w:rsidRPr="00642267">
        <w:rPr>
          <w:rFonts w:eastAsia="Calibri" w:cstheme="minorHAnsi"/>
          <w:b/>
          <w:bCs/>
        </w:rPr>
        <w:t>MEĐUGENERACIJSKA SOLIDARNOST I BRANITELJI</w:t>
      </w: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  <w:b/>
          <w:bCs/>
          <w:u w:val="single" w:color="000000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OPĆI CILJ: </w:t>
      </w:r>
      <w:r w:rsidRPr="00642267">
        <w:rPr>
          <w:rFonts w:asciiTheme="minorHAnsi" w:hAnsiTheme="minorHAnsi" w:cstheme="minorHAnsi"/>
        </w:rPr>
        <w:t>Potpora programima skrbi o osobama treće životne dobi, osobama s invaliditetom, djeci i mladima na području Dubrovačko-neretvanske županije te braniteljima Domovinskog rata i njihovim obiteljima.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POSEBNI CILJ:</w:t>
      </w:r>
      <w:r w:rsidR="00067E64" w:rsidRPr="00642267">
        <w:rPr>
          <w:rFonts w:asciiTheme="minorHAnsi" w:hAnsiTheme="minorHAnsi" w:cstheme="minorHAnsi"/>
          <w:b/>
        </w:rPr>
        <w:t xml:space="preserve"> </w:t>
      </w:r>
      <w:r w:rsidRPr="00642267">
        <w:rPr>
          <w:rFonts w:asciiTheme="minorHAnsi" w:hAnsiTheme="minorHAnsi" w:cstheme="minorHAnsi"/>
        </w:rPr>
        <w:t>Doprinos programima međugeneracijske solidarnosti koje provode dobrotvorne udruge, omogućavanje kontinuiranog djelovanja udruga osoba s invaliditetom, pomoć pojedincima i djeci s posebnim potrebama, doprinos poboljšanju umirovljeničkog standarda i kvalitete života umirovljeničke populacije, provedba preventivnih programa u odgoju djece i mladih, doprinos radu udruga mladih i Savjeta mladih Dubrovačko-neretvanske županije. Također se ovim programom omogućuje obilježavanje važnih obljetnica iz Domovinskog rata te financiranje jednokratnih novčanih pomoći oboljelim hrvatskim braniteljima.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067E64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>:</w:t>
      </w:r>
      <w:r w:rsidR="00067E64" w:rsidRPr="00642267">
        <w:rPr>
          <w:rFonts w:asciiTheme="minorHAnsi" w:hAnsiTheme="minorHAnsi" w:cstheme="minorHAnsi"/>
        </w:rPr>
        <w:t xml:space="preserve"> </w:t>
      </w:r>
    </w:p>
    <w:p w:rsidR="00E96646" w:rsidRPr="00642267" w:rsidRDefault="007F015A" w:rsidP="00E96646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Zakon o socijalnoj skrbi, Zakon o savjetima mladih, Zakon o pravima hrvatskih branitelj</w:t>
      </w:r>
      <w:r w:rsidR="008C71FC" w:rsidRPr="00642267">
        <w:rPr>
          <w:rFonts w:asciiTheme="minorHAnsi" w:hAnsiTheme="minorHAnsi" w:cstheme="minorHAnsi"/>
        </w:rPr>
        <w:t>a</w:t>
      </w:r>
      <w:r w:rsidRPr="00642267">
        <w:rPr>
          <w:rFonts w:asciiTheme="minorHAnsi" w:hAnsiTheme="minorHAnsi" w:cstheme="minorHAnsi"/>
        </w:rPr>
        <w:t xml:space="preserve"> iz Domovinskog rata i članova njihove obitelji, Zakon o zaštiti vojnih i civilnih invalida rata</w:t>
      </w:r>
      <w:r w:rsidR="008C71FC" w:rsidRPr="00642267">
        <w:rPr>
          <w:rFonts w:asciiTheme="minorHAnsi" w:hAnsiTheme="minorHAnsi" w:cstheme="minorHAnsi"/>
        </w:rPr>
        <w:t>, Zakon o udrugama</w:t>
      </w:r>
      <w:r w:rsidR="00E96646" w:rsidRPr="00642267">
        <w:rPr>
          <w:rFonts w:asciiTheme="minorHAnsi" w:hAnsiTheme="minorHAnsi" w:cstheme="minorHAnsi"/>
        </w:rPr>
        <w:t>,</w:t>
      </w:r>
      <w:r w:rsidRPr="00642267">
        <w:rPr>
          <w:rFonts w:asciiTheme="minorHAnsi" w:hAnsiTheme="minorHAnsi" w:cstheme="minorHAnsi"/>
        </w:rPr>
        <w:t xml:space="preserve"> Zakon o ravnopravnosti spolova</w:t>
      </w:r>
      <w:r w:rsidR="007F01BF" w:rsidRPr="00642267">
        <w:rPr>
          <w:rFonts w:asciiTheme="minorHAnsi" w:hAnsiTheme="minorHAnsi" w:cstheme="minorHAnsi"/>
        </w:rPr>
        <w:t>.</w:t>
      </w:r>
      <w:r w:rsidR="00E96646" w:rsidRPr="00642267">
        <w:rPr>
          <w:rFonts w:asciiTheme="minorHAnsi" w:hAnsiTheme="minorHAnsi" w:cstheme="minorHAnsi"/>
        </w:rPr>
        <w:t xml:space="preserve"> </w:t>
      </w:r>
    </w:p>
    <w:p w:rsidR="007F015A" w:rsidRPr="00642267" w:rsidRDefault="007F015A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1A00DD" w:rsidRPr="00642267" w:rsidRDefault="006D3D7B" w:rsidP="002F5C7B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1A00DD" w:rsidRPr="00642267">
        <w:rPr>
          <w:rFonts w:asciiTheme="minorHAnsi" w:hAnsiTheme="minorHAnsi" w:cstheme="minorHAnsi"/>
        </w:rPr>
        <w:t xml:space="preserve"> </w:t>
      </w:r>
      <w:r w:rsidR="007F01BF" w:rsidRPr="00642267">
        <w:rPr>
          <w:rFonts w:asciiTheme="minorHAnsi" w:hAnsiTheme="minorHAnsi" w:cstheme="minorHAnsi"/>
        </w:rPr>
        <w:t xml:space="preserve">Plan razvoja Dubrovačko-neretvanske županije do 2027., </w:t>
      </w:r>
      <w:r w:rsidR="001A00DD" w:rsidRPr="00642267">
        <w:rPr>
          <w:rFonts w:asciiTheme="minorHAnsi" w:hAnsiTheme="minorHAnsi" w:cstheme="minorHAnsi"/>
        </w:rPr>
        <w:t>Provedbeni program Dubrovačko-neretvanske županije do 2025., Cilj 2.1. Unaprjeđenje kvalitete i dostupnosti društvenih usluga; Mjera 2.1.3. Osnaživanje sustava socijalne uključenosti provodi se kroz aktivnosti: Dnevni boravak, pomoć i njega u kući osobama starije životne dobi</w:t>
      </w:r>
      <w:r w:rsidR="002F5C7B" w:rsidRPr="00642267">
        <w:rPr>
          <w:rFonts w:asciiTheme="minorHAnsi" w:hAnsiTheme="minorHAnsi" w:cstheme="minorHAnsi"/>
        </w:rPr>
        <w:t xml:space="preserve">, </w:t>
      </w:r>
      <w:r w:rsidR="001A00DD" w:rsidRPr="00642267">
        <w:rPr>
          <w:rFonts w:asciiTheme="minorHAnsi" w:hAnsiTheme="minorHAnsi" w:cstheme="minorHAnsi"/>
        </w:rPr>
        <w:t xml:space="preserve">Poboljšanje umirovljeničkog standarda, </w:t>
      </w:r>
      <w:r w:rsidR="00706618" w:rsidRPr="00642267">
        <w:rPr>
          <w:rFonts w:asciiTheme="minorHAnsi" w:hAnsiTheme="minorHAnsi" w:cstheme="minorHAnsi"/>
        </w:rPr>
        <w:t xml:space="preserve">Projekti/programi u području brige za umirovljenike i osobe starije životne dobi, </w:t>
      </w:r>
      <w:r w:rsidR="001A00DD" w:rsidRPr="00642267">
        <w:rPr>
          <w:rFonts w:asciiTheme="minorHAnsi" w:hAnsiTheme="minorHAnsi" w:cstheme="minorHAnsi"/>
        </w:rPr>
        <w:t>Projekti/programi udruga mladih i Savjet mladih Dubrovačko-neretvanske županije</w:t>
      </w:r>
      <w:r w:rsidR="002F5C7B" w:rsidRPr="00642267">
        <w:rPr>
          <w:rFonts w:asciiTheme="minorHAnsi" w:hAnsiTheme="minorHAnsi" w:cstheme="minorHAnsi"/>
        </w:rPr>
        <w:t>, Projekt Centar rane intervencije za djecu s teškoćama u razvoju,</w:t>
      </w:r>
      <w:r w:rsidR="002F5C7B" w:rsidRPr="00642267">
        <w:t xml:space="preserve"> </w:t>
      </w:r>
      <w:r w:rsidR="002F5C7B" w:rsidRPr="00642267">
        <w:rPr>
          <w:rFonts w:asciiTheme="minorHAnsi" w:hAnsiTheme="minorHAnsi" w:cstheme="minorHAnsi"/>
        </w:rPr>
        <w:t>Financijska naknada djeci poginulih branitelja,</w:t>
      </w:r>
      <w:r w:rsidR="002F5C7B" w:rsidRPr="00642267">
        <w:t xml:space="preserve"> </w:t>
      </w:r>
      <w:r w:rsidR="002F5C7B" w:rsidRPr="00642267">
        <w:rPr>
          <w:rFonts w:asciiTheme="minorHAnsi" w:hAnsiTheme="minorHAnsi" w:cstheme="minorHAnsi"/>
        </w:rPr>
        <w:t>Projekti/programi udruga proisteklih iz Domovinskog rata i ostalih povijesnih udruga, Skrb o oboljelim braniteljima Domovinskog rata, Održavanje spomenika pobjede u Domovinskom ratu</w:t>
      </w:r>
      <w:r w:rsidR="00706618" w:rsidRPr="00642267">
        <w:rPr>
          <w:rFonts w:asciiTheme="minorHAnsi" w:hAnsiTheme="minorHAnsi" w:cstheme="minorHAnsi"/>
        </w:rPr>
        <w:t xml:space="preserve">, </w:t>
      </w:r>
      <w:r w:rsidR="002F5C7B" w:rsidRPr="00642267">
        <w:rPr>
          <w:rFonts w:asciiTheme="minorHAnsi" w:hAnsiTheme="minorHAnsi" w:cstheme="minorHAnsi"/>
        </w:rPr>
        <w:t>Koordinacija za ljudska prava i povjerenstva</w:t>
      </w:r>
      <w:r w:rsidR="00706618" w:rsidRPr="00642267">
        <w:rPr>
          <w:rFonts w:asciiTheme="minorHAnsi" w:hAnsiTheme="minorHAnsi" w:cstheme="minorHAnsi"/>
        </w:rPr>
        <w:t xml:space="preserve">, </w:t>
      </w:r>
      <w:r w:rsidR="002F5C7B" w:rsidRPr="00642267">
        <w:rPr>
          <w:rFonts w:asciiTheme="minorHAnsi" w:hAnsiTheme="minorHAnsi" w:cstheme="minorHAnsi"/>
        </w:rPr>
        <w:t>Preventivne i savjetodavne aktivnosti</w:t>
      </w:r>
      <w:r w:rsidR="007F01BF" w:rsidRPr="00642267">
        <w:rPr>
          <w:rFonts w:asciiTheme="minorHAnsi" w:hAnsiTheme="minorHAnsi" w:cstheme="minorHAnsi"/>
        </w:rPr>
        <w:t>.</w:t>
      </w:r>
    </w:p>
    <w:p w:rsidR="002F5C7B" w:rsidRPr="00642267" w:rsidRDefault="002F5C7B" w:rsidP="001A00DD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6D3D7B" w:rsidRPr="00642267" w:rsidRDefault="001A00DD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lastRenderedPageBreak/>
        <w:t>Cilj 2.3. Poticanje demografskog razvoja; Mjera 2.3.1. Planiranje i provedba aktivnosti za poboljšanje demografskih prilika provodi se kroz aktivnost Jednokratna novčana naknada obiteljima s četvero i više djece.</w:t>
      </w:r>
    </w:p>
    <w:p w:rsidR="007F015A" w:rsidRPr="00642267" w:rsidRDefault="007F015A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Programom Dnevni boravak i pomoć u kući obuhvaćene su osobe starije životne dobi čime im je omogućeno proživjeti starost u kvalitetnijim uvjetima. Također su isplaćeni umirovljenički dodaci za božićne i novogodišnje praznike te dodijeljene jednokratne novčane pomoći temeljem zahtjeva branitelja iz Domovinskog rata koji žive u ugroženom socijalnom položaju zbog loših materijalnih i zdravstvenih uvjeta.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"/>
        <w:gridCol w:w="4635"/>
        <w:gridCol w:w="1265"/>
        <w:gridCol w:w="1264"/>
        <w:gridCol w:w="1233"/>
      </w:tblGrid>
      <w:tr w:rsidR="007F015A" w:rsidRPr="00642267" w:rsidTr="00067E64">
        <w:tc>
          <w:tcPr>
            <w:tcW w:w="665" w:type="dxa"/>
            <w:shd w:val="clear" w:color="auto" w:fill="F2F2F2" w:themeFill="background1" w:themeFillShade="F2"/>
          </w:tcPr>
          <w:p w:rsidR="007F015A" w:rsidRPr="00642267" w:rsidRDefault="007F015A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35" w:type="dxa"/>
            <w:shd w:val="clear" w:color="auto" w:fill="F2F2F2" w:themeFill="background1" w:themeFillShade="F2"/>
          </w:tcPr>
          <w:p w:rsidR="007F015A" w:rsidRPr="00642267" w:rsidRDefault="007F015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65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64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33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Dnevni boravak, pomoć i njega u kući osobama starije životne dobi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37.826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37.826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37.826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Poboljšanje umirovljeničkog standarda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Projekti/programi u području brige za umirovljenike i osobe starije životne dobi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23.890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23.890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23.890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Projekti/programi udruga mladih i Savjet mladih Dubrovačko-neretvanske županije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21.235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21.235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21.235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Projekt Centar rane intervencije za djecu s teškoćama u razvoju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Jednokratna novčana naknada obiteljima s četvero i više djece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39.817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39.817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39.817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Financijska naknada djeci poginulih branitelja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7.963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7.963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7.963</w:t>
            </w:r>
          </w:p>
        </w:tc>
      </w:tr>
      <w:tr w:rsidR="0030222E" w:rsidRPr="00642267" w:rsidTr="001E2CD0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Projekti/programi udruga proisteklih iz Domovinskog rata i ostalih povijesnih udruga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46.453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46.453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46.453</w:t>
            </w:r>
          </w:p>
        </w:tc>
      </w:tr>
      <w:tr w:rsidR="0030222E" w:rsidRPr="00642267" w:rsidTr="001E2CD0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Skrb o oboljelim braniteljima Domovinskog rata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37.162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37.162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37.162</w:t>
            </w:r>
          </w:p>
        </w:tc>
      </w:tr>
      <w:tr w:rsidR="0030222E" w:rsidRPr="00642267" w:rsidTr="001E2CD0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Održavanje spomenika pobjede u Domovinskom ratu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9.291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9.291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9.291</w:t>
            </w:r>
          </w:p>
        </w:tc>
      </w:tr>
      <w:tr w:rsidR="0030222E" w:rsidRPr="00642267" w:rsidTr="001E2CD0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Koordinacija za ljudska prava i povjerenstva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6.636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6.636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6.636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Preventivne i savjetodavne aktivnosti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</w:tr>
      <w:tr w:rsidR="0030222E" w:rsidRPr="00642267" w:rsidTr="00067E64">
        <w:tc>
          <w:tcPr>
            <w:tcW w:w="66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516.955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516.955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516.955</w:t>
            </w:r>
          </w:p>
        </w:tc>
      </w:tr>
    </w:tbl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</w:rPr>
      </w:pPr>
    </w:p>
    <w:p w:rsidR="008D2D33" w:rsidRPr="00642267" w:rsidRDefault="008D2D33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Aktivnost: </w:t>
      </w:r>
      <w:r w:rsidR="00A84BE3" w:rsidRPr="00642267">
        <w:rPr>
          <w:rFonts w:eastAsia="Calibri" w:cstheme="minorHAnsi"/>
          <w:b/>
          <w:bCs/>
        </w:rPr>
        <w:t>Dnevni boravak, pomoć i njega u kući osobama starije životne dobi</w:t>
      </w:r>
    </w:p>
    <w:p w:rsidR="004513B7" w:rsidRPr="00642267" w:rsidRDefault="00A84BE3" w:rsidP="004513B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i odlukama </w:t>
      </w:r>
      <w:r w:rsidR="007F6789" w:rsidRPr="00642267">
        <w:rPr>
          <w:rFonts w:eastAsia="Calibri" w:cstheme="minorHAnsi"/>
        </w:rPr>
        <w:t xml:space="preserve">te prijavljenim projektima/programima </w:t>
      </w:r>
      <w:r w:rsidRPr="00642267">
        <w:rPr>
          <w:rFonts w:eastAsia="Calibri" w:cstheme="minorHAnsi"/>
        </w:rPr>
        <w:t xml:space="preserve">osigurava sredstva za dnevni boravak, pomoć i njegu starijima </w:t>
      </w:r>
      <w:r w:rsidR="007F6789" w:rsidRPr="00642267">
        <w:rPr>
          <w:rFonts w:eastAsia="Calibri" w:cstheme="minorHAnsi"/>
        </w:rPr>
        <w:t xml:space="preserve">s ciljem unapređenja kvalitete života osoba starije životne dobi. </w:t>
      </w:r>
    </w:p>
    <w:p w:rsidR="004513B7" w:rsidRPr="00642267" w:rsidRDefault="004513B7" w:rsidP="004513B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račune prijavitelja temeljem Ugovora o financiranju, odnosno podnositelja zahtjeva.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7F6789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socijalnoj skrbi,</w:t>
      </w:r>
      <w:r w:rsidR="00297126" w:rsidRPr="00642267">
        <w:rPr>
          <w:rFonts w:eastAsia="Calibri" w:cstheme="minorHAnsi"/>
        </w:rPr>
        <w:t xml:space="preserve"> </w:t>
      </w:r>
      <w:r w:rsidR="008C71FC" w:rsidRPr="00642267">
        <w:rPr>
          <w:rFonts w:cstheme="minorHAnsi"/>
        </w:rPr>
        <w:t xml:space="preserve">Zakon o udrugama, </w:t>
      </w:r>
      <w:r w:rsidR="007F6789" w:rsidRPr="00642267">
        <w:rPr>
          <w:rFonts w:eastAsia="Calibri" w:cstheme="minorHAnsi"/>
        </w:rPr>
        <w:t>Program izrade i provedbe izjednačavanja umirovljeničkog standarda na području Dubrovačko-neretvanske županije, Povelja Europske unije o temeljnim pravima, Odluka o objavi opće deklaracije o ljudskim pravima, Odluka o osnivanju i zadaćama Koordinacije za ljudska prava Dubrovačko-neretvanske županije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 xml:space="preserve">Broj riješenih zahtjeva, broj </w:t>
      </w:r>
      <w:r w:rsidR="007F6789" w:rsidRPr="00642267">
        <w:rPr>
          <w:rFonts w:eastAsia="Calibri" w:cstheme="minorHAnsi"/>
          <w:bCs/>
        </w:rPr>
        <w:t>zaprimljenih prijavljenih programa/projekata iz područja unapređenja kvalitete života osoba starije životne dobi.</w:t>
      </w:r>
    </w:p>
    <w:p w:rsidR="004513B7" w:rsidRPr="00642267" w:rsidRDefault="004513B7" w:rsidP="004513B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lastRenderedPageBreak/>
        <w:t>Nema odstupanja od prošlogodišnjih projekcija.</w:t>
      </w:r>
    </w:p>
    <w:p w:rsidR="007F6789" w:rsidRPr="00642267" w:rsidRDefault="007F6789" w:rsidP="00297126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 xml:space="preserve">Aktivnost: </w:t>
      </w:r>
      <w:r w:rsidR="00297126" w:rsidRPr="00642267">
        <w:rPr>
          <w:rFonts w:eastAsia="Calibri" w:cstheme="minorHAnsi"/>
          <w:b/>
        </w:rPr>
        <w:t>Poboljšanje umirovljeničkog standarda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kontinuirano radi na aktivnostima vezanim uz poboljšanje umirovljeničkog standarda, a s ovom aktivnosti se sredstva isplaćuju umirovljenicima DNŽ u drugoj polovici godine.</w:t>
      </w:r>
    </w:p>
    <w:p w:rsidR="004513B7" w:rsidRPr="00642267" w:rsidRDefault="004513B7" w:rsidP="004513B7">
      <w:pPr>
        <w:widowControl w:val="0"/>
        <w:spacing w:after="0" w:line="240" w:lineRule="auto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Mjere su planirane za provođenje u drugoj polovici godine.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socijalnoj skrbi, Program izrade i provedbe izjednačavanja umirovljeničkog standarda na području Dubrovačko-neretvanske županije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</w:rPr>
      </w:pPr>
      <w:r w:rsidRPr="00642267">
        <w:rPr>
          <w:rFonts w:eastAsia="Calibri" w:cstheme="minorHAnsi"/>
          <w:b/>
          <w:bCs/>
          <w:position w:val="1"/>
        </w:rPr>
        <w:t>Pokazatelj uspješnosti:</w:t>
      </w:r>
      <w:r w:rsidRPr="00642267">
        <w:rPr>
          <w:rFonts w:eastAsia="Calibri" w:cstheme="minorHAnsi"/>
          <w:bCs/>
          <w:position w:val="1"/>
        </w:rPr>
        <w:t xml:space="preserve"> </w:t>
      </w:r>
      <w:r w:rsidR="004513B7" w:rsidRPr="00642267">
        <w:rPr>
          <w:rFonts w:eastAsia="Calibri" w:cstheme="minorHAnsi"/>
          <w:bCs/>
          <w:position w:val="1"/>
        </w:rPr>
        <w:t>Izvršene isplate</w:t>
      </w:r>
    </w:p>
    <w:p w:rsidR="004513B7" w:rsidRPr="00642267" w:rsidRDefault="004513B7" w:rsidP="004513B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 xml:space="preserve">Aktivnost: </w:t>
      </w:r>
      <w:r w:rsidR="000F519C" w:rsidRPr="00642267">
        <w:rPr>
          <w:rFonts w:eastAsia="Calibri" w:cstheme="minorHAnsi"/>
          <w:b/>
        </w:rPr>
        <w:t>P</w:t>
      </w:r>
      <w:r w:rsidR="00297126" w:rsidRPr="00642267">
        <w:rPr>
          <w:rFonts w:eastAsia="Calibri" w:cstheme="minorHAnsi"/>
          <w:b/>
        </w:rPr>
        <w:t>rojekti/programi u području brige za umirovljenike i osobe starije životne dobi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i odlukama kontinuirano radi na aktivnostima vezanim uz poboljšanje umirovljeničkog standarda, te prijavljenim projektima/programima osigurava sredstva s ciljem unapređenja kvalitete života osoba starije životne dobi.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račune prijavitelja temeljem Ugovora o financiranju, odnosno podnositelja zahtjeva.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 xml:space="preserve">Zakon o socijalnoj skrbi, </w:t>
      </w:r>
      <w:r w:rsidR="008C71FC" w:rsidRPr="00642267">
        <w:rPr>
          <w:rFonts w:cstheme="minorHAnsi"/>
        </w:rPr>
        <w:t xml:space="preserve">Zakon o udrugama, </w:t>
      </w:r>
      <w:r w:rsidRPr="00642267">
        <w:rPr>
          <w:rFonts w:eastAsia="Calibri" w:cstheme="minorHAnsi"/>
        </w:rPr>
        <w:t>Program izrade i provedbe izjednačavanja umirovljeničkog standarda na području Dubrovačko-neretvanske županije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>Broj riješenih zahtjeva, broj zaprimljenih prijavljenih programa/projekata iz područja unapređenja kvalitete života osoba starije životne dobi.</w:t>
      </w:r>
    </w:p>
    <w:p w:rsidR="004513B7" w:rsidRPr="00642267" w:rsidRDefault="004513B7" w:rsidP="004513B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Aktivnost: </w:t>
      </w:r>
      <w:r w:rsidR="00297126" w:rsidRPr="00642267">
        <w:rPr>
          <w:rFonts w:eastAsia="Calibri" w:cstheme="minorHAnsi"/>
          <w:b/>
          <w:bCs/>
        </w:rPr>
        <w:t>Projekti/programi udruga mladih i Savjet mladih DNŽ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kontinuirano radi na aktivnostima i financira program i rad udruga mladih i Savjeta mladih D</w:t>
      </w:r>
      <w:r w:rsidR="00D50F46" w:rsidRPr="00642267">
        <w:rPr>
          <w:rFonts w:eastAsia="Calibri" w:cstheme="minorHAnsi"/>
        </w:rPr>
        <w:t>ubrovačko-neretvanske županije.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račune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prijavitelja temeljem Ugovora o financiranju, odnosno podnositelja zahtjeva.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 xml:space="preserve">Zakon o </w:t>
      </w:r>
      <w:r w:rsidR="006B44BB" w:rsidRPr="00642267">
        <w:rPr>
          <w:rFonts w:eastAsia="Calibri" w:cstheme="minorHAnsi"/>
        </w:rPr>
        <w:t>savjetima mladih</w:t>
      </w:r>
      <w:r w:rsidRPr="00642267">
        <w:rPr>
          <w:rFonts w:eastAsia="Calibri" w:cstheme="minorHAnsi"/>
        </w:rPr>
        <w:t xml:space="preserve">, </w:t>
      </w:r>
      <w:r w:rsidR="008C71FC" w:rsidRPr="00642267">
        <w:rPr>
          <w:rFonts w:cstheme="minorHAnsi"/>
        </w:rPr>
        <w:t xml:space="preserve">Zakon o udrugama, </w:t>
      </w:r>
      <w:r w:rsidRPr="00642267">
        <w:rPr>
          <w:rFonts w:eastAsia="Calibri" w:cstheme="minorHAnsi"/>
        </w:rPr>
        <w:t>Povelja Europske unije o temeljnim pravima, Odluka o objavi opće deklaracije o lj</w:t>
      </w:r>
      <w:r w:rsidR="006B44BB" w:rsidRPr="00642267">
        <w:rPr>
          <w:rFonts w:eastAsia="Calibri" w:cstheme="minorHAnsi"/>
        </w:rPr>
        <w:t>u</w:t>
      </w:r>
      <w:r w:rsidRPr="00642267">
        <w:rPr>
          <w:rFonts w:eastAsia="Calibri" w:cstheme="minorHAnsi"/>
        </w:rPr>
        <w:t>dskim pravima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6B44BB" w:rsidRPr="00642267">
        <w:rPr>
          <w:rFonts w:eastAsia="Calibri" w:cstheme="minorHAnsi"/>
          <w:bCs/>
        </w:rPr>
        <w:t xml:space="preserve">broj </w:t>
      </w:r>
      <w:r w:rsidRPr="00642267">
        <w:rPr>
          <w:rFonts w:eastAsia="Calibri" w:cstheme="minorHAnsi"/>
          <w:bCs/>
        </w:rPr>
        <w:t xml:space="preserve">prijavljenih programa/projekata iz područja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6B44BB" w:rsidRPr="00642267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>Aktivnost: Centar za djecu s teškoćama u razvoju DNŽ</w:t>
      </w:r>
    </w:p>
    <w:p w:rsidR="00D50F46" w:rsidRPr="00642267" w:rsidRDefault="006B44BB" w:rsidP="00D50F4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i odlukama kontinuirano radi na aktivnostima promicanja prava osoba s invaliditetom te sufinancira aktivnosti Centra za djecu s teškoćama u razvoju Dubrovačko-neretvanske županije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 prijavitelja temeljem Ugovora o financiranju i zaprimljenih zahtjeva.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8C71FC" w:rsidRPr="00642267">
        <w:rPr>
          <w:rFonts w:eastAsia="Calibri" w:cstheme="minorHAnsi"/>
        </w:rPr>
        <w:t>Zakon o socijalnoj skrbi</w:t>
      </w:r>
      <w:r w:rsidR="008C71FC" w:rsidRPr="00642267">
        <w:rPr>
          <w:rFonts w:eastAsia="Calibri" w:cstheme="minorHAnsi"/>
          <w:spacing w:val="1"/>
        </w:rPr>
        <w:t>,</w:t>
      </w:r>
      <w:r w:rsidR="008C71FC" w:rsidRPr="00642267">
        <w:rPr>
          <w:rFonts w:cstheme="minorHAnsi"/>
        </w:rPr>
        <w:t xml:space="preserve"> Zakon o udrugama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79262B" w:rsidRPr="00642267">
        <w:rPr>
          <w:rFonts w:eastAsia="Calibri" w:cstheme="minorHAnsi"/>
          <w:bCs/>
        </w:rPr>
        <w:t>kontinuiran rad s korisnicima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6B44BB" w:rsidRPr="00642267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Jednokratna novčana naknada obiteljima s četvero i više djece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lastRenderedPageBreak/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kontinuirano radi na aktivnostima vezanim uz poboljšanje živ</w:t>
      </w:r>
      <w:r w:rsidR="00D50F46" w:rsidRPr="00642267">
        <w:rPr>
          <w:rFonts w:eastAsia="Calibri" w:cstheme="minorHAnsi"/>
        </w:rPr>
        <w:t>otnog standarda stanovnika DNŽ</w:t>
      </w:r>
    </w:p>
    <w:p w:rsidR="00D50F46" w:rsidRPr="00642267" w:rsidRDefault="00D50F46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>Temeljem ove aktivnosti sredstva se isplaćuju po zaprimljenim zahtjevima u drugoj polovici godine.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7B143D" w:rsidRPr="00642267">
        <w:rPr>
          <w:rFonts w:eastAsia="Calibri" w:cstheme="minorHAnsi"/>
          <w:bCs/>
        </w:rPr>
        <w:t xml:space="preserve">Zakon o socijalnoj skrbi, </w:t>
      </w:r>
      <w:r w:rsidR="00197E0C" w:rsidRPr="00642267">
        <w:rPr>
          <w:rFonts w:eastAsia="Calibri" w:cstheme="minorHAnsi"/>
        </w:rPr>
        <w:t>odluka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</w:rPr>
      </w:pPr>
      <w:r w:rsidRPr="00642267">
        <w:rPr>
          <w:rFonts w:eastAsia="Calibri" w:cstheme="minorHAnsi"/>
          <w:b/>
          <w:bCs/>
          <w:position w:val="1"/>
        </w:rPr>
        <w:t>Pokazatelj uspješnosti:</w:t>
      </w:r>
      <w:r w:rsidR="009576E0" w:rsidRPr="00642267">
        <w:rPr>
          <w:rFonts w:eastAsia="Calibri" w:cstheme="minorHAnsi"/>
          <w:b/>
          <w:bCs/>
          <w:position w:val="1"/>
        </w:rPr>
        <w:t xml:space="preserve"> </w:t>
      </w:r>
      <w:r w:rsidR="009576E0" w:rsidRPr="00642267">
        <w:rPr>
          <w:rFonts w:eastAsia="Calibri" w:cstheme="minorHAnsi"/>
          <w:bCs/>
          <w:position w:val="1"/>
        </w:rPr>
        <w:t>broj zaprimljenih zahtjeva,</w:t>
      </w:r>
      <w:r w:rsidRPr="00642267">
        <w:rPr>
          <w:rFonts w:eastAsia="Calibri" w:cstheme="minorHAnsi"/>
          <w:bCs/>
          <w:position w:val="1"/>
        </w:rPr>
        <w:t xml:space="preserve"> </w:t>
      </w:r>
      <w:r w:rsidR="009576E0" w:rsidRPr="00642267">
        <w:rPr>
          <w:rFonts w:eastAsia="Calibri" w:cstheme="minorHAnsi"/>
          <w:bCs/>
          <w:position w:val="1"/>
        </w:rPr>
        <w:t>isplaćene naknade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6B44BB" w:rsidRPr="00642267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Financijska naknada djeci poginulih branitelja</w:t>
      </w:r>
    </w:p>
    <w:p w:rsidR="00197E0C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i odlukama kontinuirano </w:t>
      </w:r>
      <w:r w:rsidR="00197E0C" w:rsidRPr="00642267">
        <w:rPr>
          <w:rFonts w:eastAsia="Calibri" w:cstheme="minorHAnsi"/>
        </w:rPr>
        <w:t xml:space="preserve">osigurava sredstva za pomoć i školovanje djece poginulih branitelja. 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197E0C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197E0C" w:rsidRPr="00642267">
        <w:t>Zakon o hrvatskim braniteljima iz Domovinskog rata i članovima njihovih obitelji</w:t>
      </w:r>
      <w:r w:rsidR="007B143D" w:rsidRPr="00642267">
        <w:rPr>
          <w:rFonts w:eastAsia="Calibri" w:cstheme="minorHAnsi"/>
          <w:bCs/>
          <w:position w:val="1"/>
        </w:rPr>
        <w:t>, Zakon o socijalnoj skrbi, Odluka o dodjeli pomoći za odgoj i školovanje djeci i usvojenicima poginulih branitelja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</w:rPr>
      </w:pPr>
      <w:r w:rsidRPr="00642267">
        <w:rPr>
          <w:rFonts w:eastAsia="Calibri" w:cstheme="minorHAnsi"/>
          <w:b/>
          <w:bCs/>
          <w:position w:val="1"/>
        </w:rPr>
        <w:t>Pokazatelj uspješnosti:</w:t>
      </w:r>
      <w:r w:rsidRPr="00642267">
        <w:rPr>
          <w:rFonts w:eastAsia="Calibri" w:cstheme="minorHAnsi"/>
          <w:bCs/>
          <w:position w:val="1"/>
        </w:rPr>
        <w:t xml:space="preserve"> </w:t>
      </w:r>
      <w:r w:rsidR="00197E0C" w:rsidRPr="00642267">
        <w:rPr>
          <w:rFonts w:eastAsia="Calibri" w:cstheme="minorHAnsi"/>
          <w:bCs/>
          <w:position w:val="1"/>
        </w:rPr>
        <w:t>Broj riješenih zahtjeva</w:t>
      </w:r>
    </w:p>
    <w:p w:rsidR="00197E0C" w:rsidRPr="00642267" w:rsidRDefault="00D50F46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D50F46" w:rsidRPr="00642267" w:rsidRDefault="00D50F46" w:rsidP="00197E0C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197E0C" w:rsidRPr="00642267" w:rsidRDefault="00197E0C" w:rsidP="00197E0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Projekti/programi udruga proisteklih iz Domovinskog rata i ostalih povijesnih udruga</w:t>
      </w:r>
    </w:p>
    <w:p w:rsidR="00D50F46" w:rsidRPr="00642267" w:rsidRDefault="00197E0C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kontinuirano sufinancira rad udruga proisteklih iz Domovinskog rata.</w:t>
      </w:r>
      <w:r w:rsidR="00D50F46" w:rsidRPr="00642267">
        <w:rPr>
          <w:rFonts w:eastAsia="Calibri" w:cstheme="minorHAnsi"/>
          <w:spacing w:val="1"/>
        </w:rPr>
        <w:t xml:space="preserve">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račune prijavitelja temeljem Ugovora o financiranju, odnosno podnositelja zahtjeva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t>Zakon o hrvatskim braniteljima iz Domovinskog rata i članovima njihovih obitelji</w:t>
      </w:r>
      <w:r w:rsidRPr="00642267">
        <w:rPr>
          <w:rFonts w:eastAsia="Calibri" w:cstheme="minorHAnsi"/>
          <w:b/>
          <w:bCs/>
          <w:position w:val="1"/>
        </w:rPr>
        <w:t xml:space="preserve">, </w:t>
      </w:r>
      <w:r w:rsidRPr="00642267">
        <w:rPr>
          <w:rFonts w:eastAsia="Calibri" w:cstheme="minorHAnsi"/>
          <w:bCs/>
          <w:position w:val="1"/>
        </w:rPr>
        <w:t>Zakon o zaštiti vojnih i civilnih invalida rata</w:t>
      </w:r>
      <w:r w:rsidR="008C71FC" w:rsidRPr="00642267">
        <w:rPr>
          <w:rFonts w:eastAsia="Calibri" w:cstheme="minorHAnsi"/>
          <w:b/>
          <w:bCs/>
          <w:position w:val="1"/>
        </w:rPr>
        <w:t xml:space="preserve">, </w:t>
      </w:r>
      <w:r w:rsidR="008C71FC" w:rsidRPr="00642267">
        <w:rPr>
          <w:rFonts w:cstheme="minorHAnsi"/>
        </w:rPr>
        <w:t>Zakon o udrugama,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 xml:space="preserve">broj prijavljenih programa/projekata iz područja </w:t>
      </w:r>
    </w:p>
    <w:p w:rsidR="00197E0C" w:rsidRPr="00642267" w:rsidRDefault="00D50F46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D50F46" w:rsidRPr="00642267" w:rsidRDefault="00D50F46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197E0C" w:rsidRPr="00642267" w:rsidRDefault="00197E0C" w:rsidP="00197E0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Skrb o oboljelim braniteljima Domovinskog rata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kontinuirano provodi aktivnosti unapređenja kvalitete života oboljelih branitelja.</w:t>
      </w:r>
      <w:r w:rsidR="00D50F46" w:rsidRPr="00642267">
        <w:rPr>
          <w:rFonts w:eastAsia="Calibri" w:cstheme="minorHAnsi"/>
          <w:spacing w:val="1"/>
        </w:rPr>
        <w:t xml:space="preserve"> Iz proračuna DNŽ isplaćuju se sredstva na račune prijavitelja temeljem podnesenog zahtjeva.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t>Zakon o hrvatskim braniteljima iz Domovinskog rata i članovima njihovih obitelji</w:t>
      </w:r>
      <w:r w:rsidRPr="00642267">
        <w:rPr>
          <w:rFonts w:eastAsia="Calibri" w:cstheme="minorHAnsi"/>
          <w:bCs/>
          <w:position w:val="1"/>
        </w:rPr>
        <w:t xml:space="preserve">, </w:t>
      </w:r>
      <w:r w:rsidR="007B143D" w:rsidRPr="00642267">
        <w:rPr>
          <w:rFonts w:eastAsia="Calibri" w:cstheme="minorHAnsi"/>
          <w:bCs/>
          <w:position w:val="1"/>
        </w:rPr>
        <w:t xml:space="preserve">Zakon o socijalnoj skrbi, </w:t>
      </w:r>
      <w:r w:rsidRPr="00642267">
        <w:rPr>
          <w:rFonts w:eastAsia="Calibri" w:cstheme="minorHAnsi"/>
          <w:bCs/>
          <w:position w:val="1"/>
        </w:rPr>
        <w:t>Zakon o zaštiti vojnih i civilnih invalida rata</w:t>
      </w:r>
      <w:r w:rsidR="007B143D" w:rsidRPr="00642267">
        <w:rPr>
          <w:rFonts w:eastAsia="Calibri" w:cstheme="minorHAnsi"/>
          <w:bCs/>
          <w:position w:val="1"/>
        </w:rPr>
        <w:t>, Pravilnik o uvjetima i postupku ostvarivanja prava na jednokratnu novčanu pomoć socijalno ugroženim hrvatskim braniteljima iz Domovinskog rata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 xml:space="preserve">broj </w:t>
      </w:r>
      <w:r w:rsidR="007B143D" w:rsidRPr="00642267">
        <w:rPr>
          <w:rFonts w:eastAsia="Calibri" w:cstheme="minorHAnsi"/>
          <w:bCs/>
        </w:rPr>
        <w:t>riješenih zahtjeva</w:t>
      </w:r>
      <w:r w:rsidRPr="00642267">
        <w:rPr>
          <w:rFonts w:eastAsia="Calibri" w:cstheme="minorHAnsi"/>
          <w:bCs/>
        </w:rPr>
        <w:t xml:space="preserve">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</w:t>
      </w:r>
    </w:p>
    <w:p w:rsidR="00297126" w:rsidRPr="00642267" w:rsidRDefault="00297126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7B143D" w:rsidRPr="00642267" w:rsidRDefault="007B143D" w:rsidP="007B143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O</w:t>
      </w:r>
      <w:r w:rsidR="00156DAE" w:rsidRPr="00642267">
        <w:rPr>
          <w:rFonts w:eastAsia="Calibri" w:cstheme="minorHAnsi"/>
          <w:b/>
        </w:rPr>
        <w:t>državanje spomenika Pobjedi</w:t>
      </w:r>
      <w:r w:rsidRPr="00642267">
        <w:rPr>
          <w:rFonts w:eastAsia="Calibri" w:cstheme="minorHAnsi"/>
          <w:b/>
        </w:rPr>
        <w:t xml:space="preserve"> u Domovinskom ratu</w:t>
      </w:r>
    </w:p>
    <w:p w:rsidR="00D50F46" w:rsidRPr="00642267" w:rsidRDefault="007B143D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 osigurava sr</w:t>
      </w:r>
      <w:r w:rsidR="00156DAE" w:rsidRPr="00642267">
        <w:rPr>
          <w:rFonts w:eastAsia="Calibri" w:cstheme="minorHAnsi"/>
        </w:rPr>
        <w:t>edstva za održavanje spomenika Pobjedi</w:t>
      </w:r>
      <w:r w:rsidRPr="00642267">
        <w:rPr>
          <w:rFonts w:eastAsia="Calibri" w:cstheme="minorHAnsi"/>
        </w:rPr>
        <w:t xml:space="preserve"> u </w:t>
      </w:r>
    </w:p>
    <w:p w:rsidR="00D50F46" w:rsidRPr="00642267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</w:rPr>
        <w:t>Domovinskom ratu</w:t>
      </w:r>
      <w:r w:rsidR="00D50F46" w:rsidRPr="00642267">
        <w:rPr>
          <w:rFonts w:eastAsia="Calibri" w:cstheme="minorHAnsi"/>
          <w:spacing w:val="1"/>
        </w:rPr>
        <w:t xml:space="preserve"> </w:t>
      </w:r>
    </w:p>
    <w:p w:rsidR="007B143D" w:rsidRPr="00642267" w:rsidRDefault="00D50F46" w:rsidP="007B143D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t>Iz proračuna DNŽ  se kontinuirano isplaćuju sredstva za održavanje spomenika.</w:t>
      </w:r>
    </w:p>
    <w:p w:rsidR="007B143D" w:rsidRPr="00642267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7B143D" w:rsidRPr="00642267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 xml:space="preserve">isplaćena sredstva </w:t>
      </w:r>
    </w:p>
    <w:p w:rsidR="00D50F46" w:rsidRPr="00642267" w:rsidRDefault="00D50F46" w:rsidP="007B143D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Cs/>
        </w:rPr>
        <w:t>U skladu s planiranim aktivnostima izvršeno je povećanje sredstava.</w:t>
      </w:r>
    </w:p>
    <w:p w:rsidR="007B143D" w:rsidRPr="00642267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156DAE" w:rsidRPr="00642267" w:rsidRDefault="00156DAE" w:rsidP="00156D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Koordinacija za ljudska prava i povjerenstva</w:t>
      </w:r>
    </w:p>
    <w:p w:rsidR="00156DAE" w:rsidRPr="00642267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lastRenderedPageBreak/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 osigurava sredstva za rad savjetodavnog tijela Županijske skupštine za pitanja ljudskih prava na području Dubrovačko-neretvanske županije, tj.  Koordinacije za ljudska prava, koja između ostalog prikuplja podatke o stanju ljudskih prava i sloboda i prava nacionalnih manjina na području Dubrovačko-neretvanske-županije te upozorava nadležna upravna tijela na području Dubrovačko-neretvanske Županije na pojedine slučajeve kršenja ljudskih prava i sloboda i prava nacionalnih manjina.</w:t>
      </w:r>
    </w:p>
    <w:p w:rsidR="00156DAE" w:rsidRPr="00642267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156DAE" w:rsidRPr="00642267" w:rsidRDefault="00C74F54" w:rsidP="00156DA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  <w:bCs/>
        </w:rPr>
        <w:t xml:space="preserve">Zakon o ravnopravnosti spolova, </w:t>
      </w:r>
      <w:r w:rsidR="00951D0F" w:rsidRPr="00642267">
        <w:rPr>
          <w:rFonts w:eastAsia="Calibri" w:cstheme="minorHAnsi"/>
        </w:rPr>
        <w:t>Odluka o osnivanju i zadaćama Koordinacije za ljudska prava Dubrovačko-neretvanske županije,</w:t>
      </w:r>
      <w:r w:rsidR="00951D0F" w:rsidRPr="00642267">
        <w:rPr>
          <w:rFonts w:eastAsia="Calibri" w:cstheme="minorHAnsi"/>
          <w:bCs/>
        </w:rPr>
        <w:t xml:space="preserve"> </w:t>
      </w:r>
      <w:r w:rsidR="00156DAE" w:rsidRPr="00642267">
        <w:rPr>
          <w:rFonts w:eastAsia="Calibri" w:cstheme="minorHAnsi"/>
          <w:bCs/>
        </w:rPr>
        <w:t xml:space="preserve">Zakon o lokalnoj i područnoj (regionalnoj) samoupravi, </w:t>
      </w:r>
      <w:r w:rsidR="00951D0F" w:rsidRPr="00642267">
        <w:rPr>
          <w:rFonts w:eastAsia="Calibri" w:cstheme="minorHAnsi"/>
          <w:bCs/>
        </w:rPr>
        <w:t xml:space="preserve">Nacionalni program zaštite i promicanja ljudskih prava u RH, </w:t>
      </w:r>
      <w:r w:rsidR="00156DAE" w:rsidRPr="00642267">
        <w:rPr>
          <w:rFonts w:eastAsia="Calibri" w:cstheme="minorHAnsi"/>
        </w:rPr>
        <w:t>Povelja Europske unije o temeljnim pravima, Odluka</w:t>
      </w:r>
      <w:r w:rsidR="00951D0F" w:rsidRPr="00642267">
        <w:rPr>
          <w:rFonts w:eastAsia="Calibri" w:cstheme="minorHAnsi"/>
        </w:rPr>
        <w:t xml:space="preserve"> o objavi opće deklaracije o lj</w:t>
      </w:r>
      <w:r w:rsidR="00156DAE" w:rsidRPr="00642267">
        <w:rPr>
          <w:rFonts w:eastAsia="Calibri" w:cstheme="minorHAnsi"/>
        </w:rPr>
        <w:t>u</w:t>
      </w:r>
      <w:r w:rsidR="00951D0F" w:rsidRPr="00642267">
        <w:rPr>
          <w:rFonts w:eastAsia="Calibri" w:cstheme="minorHAnsi"/>
        </w:rPr>
        <w:t>d</w:t>
      </w:r>
      <w:r w:rsidR="00156DAE" w:rsidRPr="00642267">
        <w:rPr>
          <w:rFonts w:eastAsia="Calibri" w:cstheme="minorHAnsi"/>
        </w:rPr>
        <w:t xml:space="preserve">skim pravima, </w:t>
      </w:r>
    </w:p>
    <w:p w:rsidR="00156DAE" w:rsidRPr="00642267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>isplaćena sre</w:t>
      </w:r>
      <w:r w:rsidR="00D50F46" w:rsidRPr="00642267">
        <w:rPr>
          <w:rFonts w:eastAsia="Calibri" w:cstheme="minorHAnsi"/>
          <w:bCs/>
        </w:rPr>
        <w:t>dstva, o</w:t>
      </w:r>
      <w:r w:rsidR="00951D0F" w:rsidRPr="00642267">
        <w:rPr>
          <w:rFonts w:eastAsia="Calibri" w:cstheme="minorHAnsi"/>
          <w:spacing w:val="1"/>
        </w:rPr>
        <w:t xml:space="preserve">držane sjednice Koordinacije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156DAE" w:rsidRPr="00642267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D50F46" w:rsidRPr="00642267" w:rsidRDefault="00D50F46" w:rsidP="00D50F4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Preventivne i savjetodavne aktivnosti za djecu i mlade</w:t>
      </w:r>
    </w:p>
    <w:p w:rsidR="009576E0" w:rsidRPr="00642267" w:rsidRDefault="00D50F46" w:rsidP="009576E0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spacing w:val="1"/>
        </w:rPr>
        <w:t>Cilj:</w:t>
      </w:r>
      <w:r w:rsidR="00C43314" w:rsidRPr="00642267">
        <w:t xml:space="preserve"> </w:t>
      </w:r>
      <w:r w:rsidR="00C43314" w:rsidRPr="00642267">
        <w:rPr>
          <w:rFonts w:eastAsia="Calibri" w:cstheme="minorHAnsi"/>
          <w:spacing w:val="1"/>
        </w:rPr>
        <w:t>Financiranje edukativnih programa kojima se djeluje preventivno na štetna ponašanja u odrastanju djece i mladih te udruga čije djelovanje uključuje aktivnosti organiziranja slobodnog vremena djece i mladih kojima se nastoji spriječiti  pojavu štetnih ponašanja</w:t>
      </w:r>
      <w:r w:rsidR="009576E0" w:rsidRPr="00642267">
        <w:rPr>
          <w:rFonts w:eastAsia="Calibri" w:cstheme="minorHAnsi"/>
          <w:spacing w:val="1"/>
        </w:rPr>
        <w:t>.</w:t>
      </w:r>
      <w:r w:rsidR="009576E0" w:rsidRPr="00642267">
        <w:rPr>
          <w:rFonts w:eastAsia="Calibri" w:cstheme="minorHAnsi"/>
        </w:rPr>
        <w:t xml:space="preserve"> Navedena aktivnost proteklih godina provodila se u sklopu aktivnosti Projekti/programi udruga mladih i Savjet mladih Dubrovačko-neretvanske županije te su u ovom Planu  razdvojene zbog učinkovitije provedbe istih.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8C71FC" w:rsidRPr="00642267">
        <w:rPr>
          <w:rFonts w:cstheme="minorHAnsi"/>
        </w:rPr>
        <w:t xml:space="preserve">Zakon o udrugama, </w:t>
      </w:r>
      <w:r w:rsidRPr="00642267">
        <w:rPr>
          <w:rFonts w:eastAsia="Calibri" w:cstheme="minorHAnsi"/>
        </w:rPr>
        <w:t>Povelja Europske unije o temeljnim pravima, Odluka o objavi opće deklaracije o ljudskim pravima</w:t>
      </w:r>
    </w:p>
    <w:p w:rsidR="00D50F46" w:rsidRPr="00642267" w:rsidRDefault="00AA6900" w:rsidP="00AA6900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="009576E0" w:rsidRPr="00642267">
        <w:rPr>
          <w:rFonts w:eastAsia="Calibri" w:cstheme="minorHAnsi"/>
          <w:b/>
          <w:bCs/>
        </w:rPr>
        <w:t xml:space="preserve"> </w:t>
      </w:r>
      <w:r w:rsidR="009576E0" w:rsidRPr="00642267">
        <w:rPr>
          <w:rFonts w:eastAsia="Calibri" w:cstheme="minorHAnsi"/>
          <w:bCs/>
        </w:rPr>
        <w:t>broj održanih edukacija i savjetodavnih aktivnosti</w:t>
      </w:r>
    </w:p>
    <w:p w:rsidR="00D50F46" w:rsidRPr="00642267" w:rsidRDefault="00D50F46" w:rsidP="00156DAE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</w:rPr>
      </w:pPr>
    </w:p>
    <w:p w:rsidR="00B03D0E" w:rsidRPr="00642267" w:rsidRDefault="00951D0F" w:rsidP="00B03D0E">
      <w:pPr>
        <w:widowControl w:val="0"/>
        <w:shd w:val="clear" w:color="auto" w:fill="D3F5F7" w:themeFill="accent3" w:themeFillTint="33"/>
        <w:spacing w:after="0" w:line="240" w:lineRule="auto"/>
        <w:rPr>
          <w:rFonts w:eastAsia="Calibri" w:cstheme="minorHAnsi"/>
          <w:b/>
          <w:bCs/>
          <w:u w:val="single" w:color="000000"/>
        </w:rPr>
      </w:pPr>
      <w:r w:rsidRPr="00642267">
        <w:rPr>
          <w:rFonts w:eastAsia="Calibri" w:cstheme="minorHAnsi"/>
          <w:b/>
          <w:bCs/>
        </w:rPr>
        <w:t>PROGRAM 1212</w:t>
      </w:r>
      <w:r w:rsidR="009F3D8C" w:rsidRPr="00642267">
        <w:rPr>
          <w:rFonts w:eastAsia="Calibri" w:cstheme="minorHAnsi"/>
          <w:b/>
          <w:bCs/>
        </w:rPr>
        <w:t xml:space="preserve"> </w:t>
      </w:r>
      <w:r w:rsidR="00B03D0E" w:rsidRPr="00642267">
        <w:rPr>
          <w:rFonts w:eastAsia="Calibri" w:cstheme="minorHAnsi"/>
          <w:b/>
          <w:bCs/>
        </w:rPr>
        <w:t xml:space="preserve"> </w:t>
      </w:r>
      <w:r w:rsidRPr="00642267">
        <w:rPr>
          <w:rFonts w:eastAsia="Calibri" w:cstheme="minorHAnsi"/>
          <w:b/>
          <w:bCs/>
        </w:rPr>
        <w:t>PROGRAM USTANOVA U ZDRAVSTVU IZNAD STANDARDA</w:t>
      </w:r>
    </w:p>
    <w:p w:rsidR="00B03D0E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p w:rsidR="00986C5C" w:rsidRPr="00642267" w:rsidRDefault="00986C5C" w:rsidP="00986C5C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 xml:space="preserve">Programom ustanova u zdravstvu iznad standarda provode se aktivnosti </w:t>
      </w:r>
      <w:r w:rsidRPr="00642267">
        <w:t>modernizacije opreme</w:t>
      </w:r>
      <w:r w:rsidR="00630C70" w:rsidRPr="00642267">
        <w:t>, infrastrukture</w:t>
      </w:r>
      <w:r w:rsidRPr="00642267">
        <w:t xml:space="preserve"> i zdravstvenih usluga, te</w:t>
      </w:r>
      <w:r w:rsidRPr="00642267">
        <w:rPr>
          <w:rFonts w:cstheme="minorHAnsi"/>
        </w:rPr>
        <w:t xml:space="preserve"> se unaprjeđuje kvaliteta dostupne medicinske usluge stanovništvu Dubrovačko-neretvanske županije</w:t>
      </w:r>
      <w:r w:rsidR="00630C70" w:rsidRPr="00642267">
        <w:rPr>
          <w:rFonts w:cstheme="minorHAnsi"/>
        </w:rPr>
        <w:t>.</w:t>
      </w:r>
      <w:r w:rsidRPr="00642267">
        <w:rPr>
          <w:rFonts w:cstheme="minorHAnsi"/>
        </w:rPr>
        <w:t xml:space="preserve"> </w:t>
      </w:r>
    </w:p>
    <w:p w:rsidR="00986C5C" w:rsidRPr="00642267" w:rsidRDefault="00986C5C" w:rsidP="00986C5C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POSEBNI CILJ: </w:t>
      </w:r>
      <w:r w:rsidRPr="00642267">
        <w:rPr>
          <w:rFonts w:asciiTheme="minorHAnsi" w:hAnsiTheme="minorHAnsi" w:cstheme="minorHAnsi"/>
        </w:rPr>
        <w:t>Razvitak i rekonstrukcija zdravstvenog sustava na principima integrirane skrbi, uključujući i kontinuiranu i kroničnu zdravstvenu skrb u lokalnoj zajednici, kroz jačanje primarne zdravstvene zaštite.</w:t>
      </w:r>
    </w:p>
    <w:p w:rsidR="00986C5C" w:rsidRPr="00642267" w:rsidRDefault="00986C5C" w:rsidP="00986C5C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986C5C" w:rsidRPr="00642267" w:rsidRDefault="00986C5C" w:rsidP="00986C5C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 xml:space="preserve">: </w:t>
      </w:r>
    </w:p>
    <w:p w:rsidR="00986C5C" w:rsidRPr="00642267" w:rsidRDefault="00986C5C" w:rsidP="00986C5C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Zakon o zdravstvenoj zaštiti, Zakon o otocima, Zakon o ustanovama, Zakon o lokalnoj i područnoj (regionalnoj) s</w:t>
      </w:r>
      <w:r w:rsidR="00706618" w:rsidRPr="00642267">
        <w:rPr>
          <w:rFonts w:asciiTheme="minorHAnsi" w:hAnsiTheme="minorHAnsi" w:cstheme="minorHAnsi"/>
        </w:rPr>
        <w:t>amoupravi.</w:t>
      </w:r>
    </w:p>
    <w:p w:rsidR="006D3D7B" w:rsidRPr="00642267" w:rsidRDefault="006D3D7B" w:rsidP="00986C5C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6D3D7B" w:rsidRPr="00642267" w:rsidRDefault="006D3D7B" w:rsidP="00706618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706618" w:rsidRPr="00642267">
        <w:rPr>
          <w:rFonts w:asciiTheme="minorHAnsi" w:hAnsiTheme="minorHAnsi" w:cstheme="minorHAnsi"/>
        </w:rPr>
        <w:t xml:space="preserve"> Plan razvoja Dubrovačko-neretvanske županije do 2027., Provedbeni program Dubrovačko-neretvanske županije do 2025., Cilj 2.1. Unaprjeđenje kvalitete i dostupnosti društvenih usluga; Mjera 2.1.2. Unaprjeđenje zdravstvenih usluga i skrbi provodi se kroz aktivnosti: Obveze po sudskim sporovima, Sufinanciranje projekata Poboljšanje pristupa PZZ s naglaskom na udaljena i deprivirana područja, Obnova društvenog doma Ošlje na Edukacijski centar Crvenog križa, Rasvjeta helidroma, Poboljšanje standarda zdravstvene ustanove, Krajobrazno uređenje – tematski parkovi zdravstvenih ustanova</w:t>
      </w:r>
    </w:p>
    <w:p w:rsidR="006D3D7B" w:rsidRPr="00642267" w:rsidRDefault="006D3D7B" w:rsidP="00986C5C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986C5C" w:rsidRPr="00642267" w:rsidRDefault="00986C5C" w:rsidP="00986C5C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986C5C" w:rsidRPr="00642267" w:rsidRDefault="00986C5C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p w:rsidR="00986C5C" w:rsidRPr="00642267" w:rsidRDefault="00986C5C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4590"/>
        <w:gridCol w:w="1316"/>
        <w:gridCol w:w="1263"/>
        <w:gridCol w:w="1232"/>
      </w:tblGrid>
      <w:tr w:rsidR="00F46A7F" w:rsidRPr="00642267" w:rsidTr="002F41C2">
        <w:tc>
          <w:tcPr>
            <w:tcW w:w="661" w:type="dxa"/>
            <w:shd w:val="clear" w:color="auto" w:fill="F2F2F2" w:themeFill="background1" w:themeFillShade="F2"/>
          </w:tcPr>
          <w:p w:rsidR="00F46A7F" w:rsidRPr="00642267" w:rsidRDefault="00F46A7F" w:rsidP="00F46A7F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Rb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:rsidR="00F46A7F" w:rsidRPr="00642267" w:rsidRDefault="00F46A7F" w:rsidP="00F46A7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Naziv aktivnosti/projekta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:rsidR="00F46A7F" w:rsidRPr="00642267" w:rsidRDefault="00F46A7F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2023.</w:t>
            </w:r>
          </w:p>
        </w:tc>
        <w:tc>
          <w:tcPr>
            <w:tcW w:w="1263" w:type="dxa"/>
            <w:shd w:val="clear" w:color="auto" w:fill="F2F2F2" w:themeFill="background1" w:themeFillShade="F2"/>
          </w:tcPr>
          <w:p w:rsidR="00F46A7F" w:rsidRPr="00642267" w:rsidRDefault="00F46A7F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2024.</w:t>
            </w:r>
          </w:p>
        </w:tc>
        <w:tc>
          <w:tcPr>
            <w:tcW w:w="1232" w:type="dxa"/>
            <w:shd w:val="clear" w:color="auto" w:fill="F2F2F2" w:themeFill="background1" w:themeFillShade="F2"/>
          </w:tcPr>
          <w:p w:rsidR="00F46A7F" w:rsidRPr="00642267" w:rsidRDefault="00F46A7F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2025.</w:t>
            </w:r>
          </w:p>
        </w:tc>
      </w:tr>
      <w:tr w:rsidR="002F41C2" w:rsidRPr="00642267" w:rsidTr="002F41C2">
        <w:tc>
          <w:tcPr>
            <w:tcW w:w="661" w:type="dxa"/>
            <w:vAlign w:val="center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4590" w:type="dxa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Obveze po sudskim sporovima</w:t>
            </w:r>
          </w:p>
        </w:tc>
        <w:tc>
          <w:tcPr>
            <w:tcW w:w="1316" w:type="dxa"/>
          </w:tcPr>
          <w:p w:rsidR="002F41C2" w:rsidRPr="00642267" w:rsidRDefault="00FE1823" w:rsidP="00FE182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F41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318</w:t>
            </w:r>
          </w:p>
        </w:tc>
        <w:tc>
          <w:tcPr>
            <w:tcW w:w="1263" w:type="dxa"/>
          </w:tcPr>
          <w:p w:rsidR="002F41C2" w:rsidRPr="00642267" w:rsidRDefault="00FE1823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3.318</w:t>
            </w:r>
          </w:p>
        </w:tc>
        <w:tc>
          <w:tcPr>
            <w:tcW w:w="1232" w:type="dxa"/>
          </w:tcPr>
          <w:p w:rsidR="002F41C2" w:rsidRPr="00642267" w:rsidRDefault="00FE1823" w:rsidP="00FE182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F41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318</w:t>
            </w:r>
          </w:p>
        </w:tc>
      </w:tr>
      <w:tr w:rsidR="002F41C2" w:rsidRPr="00642267" w:rsidTr="002F41C2">
        <w:tc>
          <w:tcPr>
            <w:tcW w:w="661" w:type="dxa"/>
            <w:vAlign w:val="center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90" w:type="dxa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Sufinanciranje projekata Poboljšanje pristupa PZZ s naglaskom na udaljena i deprivirana područja</w:t>
            </w:r>
          </w:p>
        </w:tc>
        <w:tc>
          <w:tcPr>
            <w:tcW w:w="1316" w:type="dxa"/>
          </w:tcPr>
          <w:p w:rsidR="002F41C2" w:rsidRPr="00642267" w:rsidRDefault="00F10B66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26.545</w:t>
            </w:r>
          </w:p>
        </w:tc>
        <w:tc>
          <w:tcPr>
            <w:tcW w:w="1263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32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F41C2" w:rsidRPr="00642267" w:rsidTr="002F41C2">
        <w:tc>
          <w:tcPr>
            <w:tcW w:w="661" w:type="dxa"/>
            <w:vAlign w:val="center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90" w:type="dxa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Obnova društvenog doma Ošlje na Edukacijski centar Crvenog križa</w:t>
            </w:r>
          </w:p>
        </w:tc>
        <w:tc>
          <w:tcPr>
            <w:tcW w:w="1316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13.272</w:t>
            </w:r>
          </w:p>
        </w:tc>
        <w:tc>
          <w:tcPr>
            <w:tcW w:w="1263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32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F41C2" w:rsidRPr="00642267" w:rsidTr="002F41C2">
        <w:tc>
          <w:tcPr>
            <w:tcW w:w="661" w:type="dxa"/>
            <w:vAlign w:val="center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4590" w:type="dxa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Rasvjeta helidroma</w:t>
            </w:r>
          </w:p>
        </w:tc>
        <w:tc>
          <w:tcPr>
            <w:tcW w:w="1316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11.281</w:t>
            </w:r>
          </w:p>
        </w:tc>
        <w:tc>
          <w:tcPr>
            <w:tcW w:w="1263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32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F41C2" w:rsidRPr="00642267" w:rsidTr="002F41C2">
        <w:tc>
          <w:tcPr>
            <w:tcW w:w="661" w:type="dxa"/>
            <w:vAlign w:val="center"/>
          </w:tcPr>
          <w:p w:rsidR="002F41C2" w:rsidRPr="00642267" w:rsidRDefault="00E65E76" w:rsidP="002F41C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 w:rsidR="002F41C2"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4590" w:type="dxa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Krajobrazno uređenje – tematski parkovi zdravstvenih ustanova</w:t>
            </w:r>
          </w:p>
        </w:tc>
        <w:tc>
          <w:tcPr>
            <w:tcW w:w="1316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13.272</w:t>
            </w:r>
          </w:p>
        </w:tc>
        <w:tc>
          <w:tcPr>
            <w:tcW w:w="1263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13.272</w:t>
            </w:r>
          </w:p>
        </w:tc>
        <w:tc>
          <w:tcPr>
            <w:tcW w:w="1232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13.272</w:t>
            </w:r>
          </w:p>
        </w:tc>
      </w:tr>
      <w:tr w:rsidR="00FE1823" w:rsidRPr="00642267" w:rsidTr="009A4DB9">
        <w:tc>
          <w:tcPr>
            <w:tcW w:w="661" w:type="dxa"/>
            <w:vAlign w:val="center"/>
          </w:tcPr>
          <w:p w:rsidR="00FE1823" w:rsidRPr="00642267" w:rsidRDefault="00FE1823" w:rsidP="00FE1823">
            <w:pPr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90" w:type="dxa"/>
          </w:tcPr>
          <w:p w:rsidR="00FE1823" w:rsidRPr="00642267" w:rsidRDefault="00FE1823" w:rsidP="00FE1823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Ukupno program:</w:t>
            </w:r>
          </w:p>
        </w:tc>
        <w:tc>
          <w:tcPr>
            <w:tcW w:w="1316" w:type="dxa"/>
          </w:tcPr>
          <w:p w:rsidR="00FE1823" w:rsidRPr="00642267" w:rsidRDefault="00FE1823" w:rsidP="00FE182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67.688</w:t>
            </w:r>
          </w:p>
        </w:tc>
        <w:tc>
          <w:tcPr>
            <w:tcW w:w="1263" w:type="dxa"/>
          </w:tcPr>
          <w:p w:rsidR="00FE1823" w:rsidRPr="00642267" w:rsidRDefault="00FE1823" w:rsidP="00FE182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16.590</w:t>
            </w:r>
          </w:p>
        </w:tc>
        <w:tc>
          <w:tcPr>
            <w:tcW w:w="1232" w:type="dxa"/>
          </w:tcPr>
          <w:p w:rsidR="00FE1823" w:rsidRPr="00642267" w:rsidRDefault="00FE1823" w:rsidP="00FE182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16.590</w:t>
            </w:r>
          </w:p>
        </w:tc>
      </w:tr>
    </w:tbl>
    <w:p w:rsidR="00F46A7F" w:rsidRPr="00642267" w:rsidRDefault="00F46A7F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  <w:bCs/>
          <w:spacing w:val="1"/>
        </w:rPr>
      </w:pPr>
    </w:p>
    <w:p w:rsidR="008D2D33" w:rsidRPr="00642267" w:rsidRDefault="008D2D33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</w:rPr>
      </w:pPr>
      <w:r w:rsidRPr="00642267">
        <w:rPr>
          <w:rFonts w:eastAsia="Calibri" w:cstheme="minorHAnsi"/>
          <w:b/>
          <w:bCs/>
          <w:color w:val="000000" w:themeColor="text1"/>
          <w:spacing w:val="-1"/>
        </w:rPr>
        <w:t xml:space="preserve">Aktivnost: </w:t>
      </w:r>
      <w:r w:rsidR="00951D0F" w:rsidRPr="00642267">
        <w:rPr>
          <w:rFonts w:eastAsia="Calibri" w:cstheme="minorHAnsi"/>
          <w:b/>
          <w:bCs/>
          <w:color w:val="000000" w:themeColor="text1"/>
          <w:spacing w:val="-1"/>
        </w:rPr>
        <w:t>Obveze po sudskim sporovima</w:t>
      </w:r>
    </w:p>
    <w:p w:rsidR="001E2CD0" w:rsidRPr="00642267" w:rsidRDefault="00951D0F" w:rsidP="001E2CD0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="0079262B" w:rsidRPr="00642267">
        <w:rPr>
          <w:rFonts w:eastAsia="Calibri" w:cstheme="minorHAnsi"/>
          <w:spacing w:val="1"/>
        </w:rPr>
        <w:t>Osiguravanje financijskih sredstava za isplatu po pravomoćnim presudama kod soci</w:t>
      </w:r>
      <w:r w:rsidR="00D85BAD" w:rsidRPr="00642267">
        <w:rPr>
          <w:rFonts w:eastAsia="Calibri" w:cstheme="minorHAnsi"/>
          <w:spacing w:val="1"/>
        </w:rPr>
        <w:t>jalnih i zdravstvenih ustanova</w:t>
      </w:r>
      <w:r w:rsidR="001E2CD0" w:rsidRPr="00642267">
        <w:rPr>
          <w:rFonts w:eastAsia="Calibri" w:cstheme="minorHAnsi"/>
        </w:rPr>
        <w:t xml:space="preserve"> </w:t>
      </w:r>
    </w:p>
    <w:p w:rsidR="001E2CD0" w:rsidRPr="00642267" w:rsidRDefault="001E2CD0" w:rsidP="001E2CD0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</w:rPr>
        <w:t>U prethodnom razdoblju nisu utrošena sredstva te su rezervirana za buduće razdoblje.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2F41C2" w:rsidRPr="00642267">
        <w:rPr>
          <w:rFonts w:eastAsia="Calibri" w:cstheme="minorHAnsi"/>
          <w:bCs/>
        </w:rPr>
        <w:t>iznos isplaćenih sredstava</w:t>
      </w:r>
    </w:p>
    <w:p w:rsidR="001E2CD0" w:rsidRPr="00642267" w:rsidRDefault="001E2CD0" w:rsidP="001E2CD0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8D2D33" w:rsidRPr="00642267" w:rsidRDefault="00951D0F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</w:rPr>
      </w:pPr>
      <w:r w:rsidRPr="00642267">
        <w:rPr>
          <w:rFonts w:eastAsia="Calibri" w:cstheme="minorHAnsi"/>
          <w:b/>
          <w:bCs/>
          <w:color w:val="000000" w:themeColor="text1"/>
          <w:spacing w:val="-1"/>
        </w:rPr>
        <w:t>Kapitalni projekt: Sufinanciranje projekata Poboljšanje pristupa PZZ s naglaskom na udaljena i deprivirana područja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="00C74F54" w:rsidRPr="00642267">
        <w:rPr>
          <w:rFonts w:eastAsia="Calibri" w:cstheme="minorHAnsi"/>
          <w:spacing w:val="1"/>
        </w:rPr>
        <w:t>Ovom se aktivnošću osiguravaju financijska sredstva kojim će se unaprijediti zdravlje otočnog stanovništva i poluotoka Pelješca, poboljšati sigurnost pacijenata te osigurati dostupnost, kvaliteta i učinkovitost pružatelja zdravstvenih usluga.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C74F54" w:rsidRPr="00642267">
        <w:rPr>
          <w:rFonts w:eastAsia="Calibri" w:cstheme="minorHAnsi"/>
          <w:bCs/>
        </w:rPr>
        <w:t>Zakon o zdravstvenoj zaštiti, Zakon o uspostavi institucionalnog okvira za provedbu Europskih strukturnih i investicijskih fondova u Republici Hrvatskoj u financijskom razdoblju 2014.-2020.</w:t>
      </w:r>
    </w:p>
    <w:p w:rsidR="00B03D0E" w:rsidRPr="00642267" w:rsidRDefault="00951D0F" w:rsidP="00B03D0E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C74F54" w:rsidRPr="00642267">
        <w:rPr>
          <w:rFonts w:eastAsia="Calibri" w:cstheme="minorHAnsi"/>
          <w:bCs/>
        </w:rPr>
        <w:t xml:space="preserve">nabavljena i instalirana </w:t>
      </w:r>
      <w:r w:rsidR="00D76EB6" w:rsidRPr="00642267">
        <w:rPr>
          <w:rFonts w:eastAsia="Calibri" w:cstheme="minorHAnsi"/>
          <w:bCs/>
        </w:rPr>
        <w:t xml:space="preserve">dijagnostičko-terapijska i medicinsko-tehnička </w:t>
      </w:r>
      <w:r w:rsidR="00C74F54" w:rsidRPr="00642267">
        <w:rPr>
          <w:rFonts w:eastAsia="Calibri" w:cstheme="minorHAnsi"/>
          <w:bCs/>
        </w:rPr>
        <w:t>oprema</w:t>
      </w:r>
    </w:p>
    <w:p w:rsidR="00951D0F" w:rsidRPr="00642267" w:rsidRDefault="00951D0F" w:rsidP="00B03D0E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</w:rPr>
      </w:pPr>
    </w:p>
    <w:p w:rsidR="00281636" w:rsidRPr="00642267" w:rsidRDefault="00281636" w:rsidP="002816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</w:rPr>
      </w:pPr>
      <w:r w:rsidRPr="00642267">
        <w:rPr>
          <w:rFonts w:eastAsia="Calibri" w:cstheme="minorHAnsi"/>
          <w:b/>
          <w:bCs/>
          <w:color w:val="000000" w:themeColor="text1"/>
          <w:spacing w:val="-1"/>
        </w:rPr>
        <w:t>Kapitalni projekt: Obnova društvenog doma Ošlje na Edukacijski centar Crvenog križa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="00D76EB6" w:rsidRPr="00642267">
        <w:rPr>
          <w:rFonts w:eastAsia="Calibri" w:cstheme="minorHAnsi"/>
          <w:bCs/>
          <w:spacing w:val="53"/>
        </w:rPr>
        <w:t xml:space="preserve"> </w:t>
      </w:r>
      <w:r w:rsidR="00D76EB6" w:rsidRPr="00642267">
        <w:rPr>
          <w:rFonts w:eastAsia="Calibri" w:cstheme="minorHAnsi"/>
          <w:spacing w:val="1"/>
        </w:rPr>
        <w:t xml:space="preserve">Temeljem aktivnosti se osiguravaju sredstva za obnovu i prenamjenu društvenog doma u Ošljem u svrhu osiguravanja uvjeta za bolji rad Crvenog križa u svrhu održavanja edukacija, treninga, obuka za rad na terenu, intervencijskih vježbi, sportskih natjecanja i redovne djelatnosti CK. </w:t>
      </w:r>
      <w:r w:rsidR="00D76EB6" w:rsidRPr="00642267">
        <w:rPr>
          <w:rFonts w:eastAsia="Calibri" w:cstheme="minorHAnsi"/>
          <w:bCs/>
          <w:spacing w:val="53"/>
        </w:rPr>
        <w:t xml:space="preserve"> 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D76EB6" w:rsidRPr="00642267">
        <w:rPr>
          <w:rFonts w:eastAsia="Calibri" w:cstheme="minorHAnsi"/>
          <w:bCs/>
        </w:rPr>
        <w:t>Program podrške brdsko-planinskim područjima, Odluka o odabiru projekta, Odluka o dodatnom financiranju projekta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9576E0" w:rsidRPr="00642267">
        <w:rPr>
          <w:rFonts w:eastAsia="Calibri" w:cstheme="minorHAnsi"/>
          <w:bCs/>
        </w:rPr>
        <w:t xml:space="preserve">obnovljen društveni dom 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</w:rPr>
      </w:pPr>
    </w:p>
    <w:p w:rsidR="00281636" w:rsidRPr="00642267" w:rsidRDefault="00281636" w:rsidP="002816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</w:rPr>
      </w:pPr>
      <w:r w:rsidRPr="00642267">
        <w:rPr>
          <w:rFonts w:eastAsia="Calibri" w:cstheme="minorHAnsi"/>
          <w:b/>
          <w:bCs/>
          <w:color w:val="000000" w:themeColor="text1"/>
          <w:spacing w:val="-1"/>
        </w:rPr>
        <w:t xml:space="preserve">Kapitalni projekt: Rasvjeta helidroma 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="00D76EB6" w:rsidRPr="00642267">
        <w:rPr>
          <w:rFonts w:eastAsia="Calibri" w:cstheme="minorHAnsi"/>
          <w:bCs/>
        </w:rPr>
        <w:t xml:space="preserve">Unapređenje kvalitete dostupne medicinske usluge stanovništvu </w:t>
      </w:r>
      <w:r w:rsidR="001E2CD0" w:rsidRPr="00642267">
        <w:rPr>
          <w:rFonts w:eastAsia="Calibri" w:cstheme="minorHAnsi"/>
          <w:bCs/>
        </w:rPr>
        <w:t xml:space="preserve">sufinanciranjem projekata helidroma na području Dubrovačko-neretvanske županije. </w:t>
      </w:r>
      <w:r w:rsidR="00D76EB6" w:rsidRPr="00642267">
        <w:rPr>
          <w:rFonts w:eastAsia="Calibri" w:cstheme="minorHAnsi"/>
          <w:bCs/>
          <w:spacing w:val="53"/>
        </w:rPr>
        <w:t xml:space="preserve"> 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1E2CD0" w:rsidRPr="00642267">
        <w:rPr>
          <w:rFonts w:eastAsia="Calibri" w:cstheme="minorHAnsi"/>
          <w:bCs/>
        </w:rPr>
        <w:t>realizirani projekti rasvjete helidroma</w:t>
      </w:r>
    </w:p>
    <w:p w:rsidR="001E2CD0" w:rsidRPr="00642267" w:rsidRDefault="001E2CD0" w:rsidP="001E2CD0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281636" w:rsidRPr="00642267" w:rsidRDefault="00281636" w:rsidP="002816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</w:rPr>
      </w:pPr>
      <w:r w:rsidRPr="00642267">
        <w:rPr>
          <w:rFonts w:eastAsia="Calibri" w:cstheme="minorHAnsi"/>
          <w:b/>
          <w:bCs/>
          <w:color w:val="000000" w:themeColor="text1"/>
          <w:spacing w:val="-1"/>
        </w:rPr>
        <w:t>Tekući projekt: Krajobrazno uređenje – tematski parkovi zdravstvenih ustanova</w:t>
      </w:r>
    </w:p>
    <w:p w:rsidR="001F2F00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  <w:highlight w:val="yellow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="00772AB7" w:rsidRPr="00642267">
        <w:rPr>
          <w:rFonts w:eastAsia="Calibri" w:cstheme="minorHAnsi"/>
          <w:spacing w:val="1"/>
        </w:rPr>
        <w:t>Podizanje kvalitete turističke ponude</w:t>
      </w:r>
      <w:r w:rsidR="009576E0" w:rsidRPr="00642267">
        <w:rPr>
          <w:rFonts w:eastAsia="Calibri" w:cstheme="minorHAnsi"/>
          <w:spacing w:val="1"/>
        </w:rPr>
        <w:t xml:space="preserve"> zdravstvenih ustanova</w:t>
      </w:r>
      <w:r w:rsidR="001F2F00" w:rsidRPr="00642267">
        <w:rPr>
          <w:rFonts w:eastAsia="Calibri" w:cstheme="minorHAnsi"/>
          <w:spacing w:val="1"/>
        </w:rPr>
        <w:t>.</w:t>
      </w:r>
      <w:r w:rsidR="009576E0" w:rsidRPr="00642267">
        <w:rPr>
          <w:rFonts w:eastAsia="Calibri" w:cstheme="minorHAnsi"/>
          <w:spacing w:val="1"/>
        </w:rPr>
        <w:t xml:space="preserve"> 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lastRenderedPageBreak/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772AB7" w:rsidRPr="00642267">
        <w:rPr>
          <w:rFonts w:eastAsia="Calibri" w:cstheme="minorHAnsi"/>
          <w:bCs/>
        </w:rPr>
        <w:t>Zakon o zdravstvenoj zaštiti, Zakon o ustanovama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772AB7" w:rsidRPr="00642267">
        <w:rPr>
          <w:rFonts w:eastAsia="Calibri" w:cstheme="minorHAnsi"/>
          <w:b/>
          <w:bCs/>
        </w:rPr>
        <w:t xml:space="preserve"> </w:t>
      </w:r>
      <w:r w:rsidR="00772AB7" w:rsidRPr="00642267">
        <w:rPr>
          <w:rFonts w:eastAsia="Calibri" w:cstheme="minorHAnsi"/>
          <w:bCs/>
        </w:rPr>
        <w:t>izrađena potrebna pripremna dokumentacija</w:t>
      </w:r>
    </w:p>
    <w:p w:rsidR="00772AB7" w:rsidRPr="00642267" w:rsidRDefault="009576E0" w:rsidP="0028163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</w:rPr>
      </w:pPr>
      <w:r w:rsidRPr="00642267">
        <w:rPr>
          <w:rFonts w:eastAsia="Calibri" w:cstheme="minorHAnsi"/>
          <w:bCs/>
          <w:spacing w:val="1"/>
        </w:rPr>
        <w:t>Planirana su dodatna sredstva.</w:t>
      </w:r>
    </w:p>
    <w:p w:rsidR="00191B14" w:rsidRPr="00642267" w:rsidRDefault="00191B14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191B14" w:rsidRPr="00642267" w:rsidRDefault="00191B14" w:rsidP="00191B14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PROGRAM 1213</w:t>
      </w:r>
      <w:r w:rsidRPr="00642267">
        <w:rPr>
          <w:rFonts w:eastAsia="Calibri" w:cstheme="minorHAnsi"/>
          <w:b/>
          <w:bCs/>
          <w:spacing w:val="3"/>
        </w:rPr>
        <w:t xml:space="preserve"> PROGRAM USTANOVA U SOCIJALNOJ SKRBI IZNAD STANDARDA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D94FE2" w:rsidRPr="00642267" w:rsidRDefault="00D94FE2" w:rsidP="00D94FE2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hr-HR"/>
        </w:rPr>
      </w:pPr>
      <w:r w:rsidRPr="00642267">
        <w:rPr>
          <w:rFonts w:eastAsia="Times New Roman" w:cstheme="minorHAnsi"/>
          <w:b/>
          <w:bCs/>
          <w:color w:val="000000"/>
          <w:lang w:eastAsia="hr-HR"/>
        </w:rPr>
        <w:t>OPĆI CILJ:</w:t>
      </w:r>
      <w:r w:rsidRPr="00642267">
        <w:rPr>
          <w:rFonts w:eastAsia="Times New Roman" w:cstheme="minorHAnsi"/>
          <w:bCs/>
          <w:color w:val="000000"/>
          <w:lang w:eastAsia="hr-HR"/>
        </w:rPr>
        <w:t xml:space="preserve"> Programom ustanova socijalne skrbi iznad standarda Dubrovačko-neretvanske županije sufinancira se potpora ustanovama socijalne skrbi </w:t>
      </w:r>
      <w:r w:rsidRPr="00642267">
        <w:rPr>
          <w:rFonts w:eastAsia="Calibri" w:cstheme="minorHAnsi"/>
          <w:spacing w:val="1"/>
        </w:rPr>
        <w:t xml:space="preserve">Projektom izgradnje centra za djecu s poteškoćama u razvoju u Metkoviću će se kroz uspostavljanje socijalne infrastrukture ponuditi integrirani pristup djeci s poteškoćama u razvoju. Osnivanje Centra na području doline Neretve djeci rane razvojne dobi pružiti će cjeloviti pristup terapijske podrške, što će u konačnici doprinijeti razvoju sustava podrške socijalnih usluga u zajednici na višoj razini. </w:t>
      </w:r>
    </w:p>
    <w:p w:rsidR="00D94FE2" w:rsidRPr="00642267" w:rsidRDefault="00D94FE2" w:rsidP="00D94FE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hr-HR"/>
        </w:rPr>
      </w:pPr>
    </w:p>
    <w:p w:rsidR="00D94FE2" w:rsidRPr="00642267" w:rsidRDefault="00D94FE2" w:rsidP="00D94FE2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hr-HR"/>
        </w:rPr>
      </w:pPr>
      <w:r w:rsidRPr="00642267">
        <w:rPr>
          <w:rFonts w:eastAsia="Calibri" w:cstheme="minorHAnsi"/>
          <w:b/>
          <w:spacing w:val="1"/>
        </w:rPr>
        <w:t>POSEBNI CILJ:</w:t>
      </w:r>
      <w:r w:rsidRPr="00642267">
        <w:rPr>
          <w:rFonts w:eastAsia="Calibri" w:cstheme="minorHAnsi"/>
          <w:spacing w:val="1"/>
        </w:rPr>
        <w:t xml:space="preserve"> Suvremeni pristup u rješavanju problema organizacije i provedbe zdravstvenih, socijalnih i sličnih potrebitih usluga za starije i nemoćne osobe.</w:t>
      </w: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 xml:space="preserve">: </w:t>
      </w:r>
      <w:r w:rsidRPr="00642267">
        <w:rPr>
          <w:rFonts w:cstheme="minorHAnsi"/>
          <w:bCs/>
          <w:color w:val="000000"/>
          <w:lang w:eastAsia="hr-HR"/>
        </w:rPr>
        <w:t>Zakon o socijalnoj skrbi,</w:t>
      </w:r>
      <w:r w:rsidRPr="00642267">
        <w:rPr>
          <w:rFonts w:asciiTheme="minorHAnsi" w:hAnsiTheme="minorHAnsi" w:cstheme="minorHAnsi"/>
        </w:rPr>
        <w:t xml:space="preserve"> Zakon o udrugama, </w:t>
      </w:r>
      <w:r w:rsidRPr="00642267">
        <w:rPr>
          <w:rFonts w:cstheme="minorHAnsi"/>
          <w:bCs/>
          <w:color w:val="000000"/>
          <w:lang w:eastAsia="hr-HR"/>
        </w:rPr>
        <w:t>Strategija socijalne skrbi za starije osobe u Republici Hrvatskoj</w:t>
      </w:r>
      <w:r w:rsidR="00706618" w:rsidRPr="00642267">
        <w:rPr>
          <w:rFonts w:cstheme="minorHAnsi"/>
          <w:bCs/>
          <w:color w:val="000000"/>
          <w:lang w:eastAsia="hr-HR"/>
        </w:rPr>
        <w:t>.</w:t>
      </w:r>
      <w:r w:rsidR="00841094" w:rsidRPr="00642267">
        <w:rPr>
          <w:rFonts w:cstheme="minorHAnsi"/>
          <w:bCs/>
          <w:color w:val="000000"/>
          <w:lang w:eastAsia="hr-HR"/>
        </w:rPr>
        <w:t xml:space="preserve"> </w:t>
      </w:r>
    </w:p>
    <w:p w:rsidR="00D94FE2" w:rsidRPr="00642267" w:rsidRDefault="00D94FE2" w:rsidP="00D94FE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6D3D7B" w:rsidRPr="00642267" w:rsidRDefault="006D3D7B" w:rsidP="00D94FE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706618" w:rsidRPr="00642267">
        <w:rPr>
          <w:rFonts w:asciiTheme="minorHAnsi" w:hAnsiTheme="minorHAnsi" w:cstheme="minorHAnsi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 provodi se kroz aktivnost Sufinanciranje projekta adaptacija dijela zgrade u "Centar za djecu s poteškoćama u razvoju-Ruka prijatelja"</w:t>
      </w:r>
      <w:r w:rsidR="00E95F37" w:rsidRPr="00642267">
        <w:rPr>
          <w:rFonts w:asciiTheme="minorHAnsi" w:hAnsiTheme="minorHAnsi" w:cstheme="minorHAnsi"/>
        </w:rPr>
        <w:t>.</w:t>
      </w:r>
    </w:p>
    <w:p w:rsidR="006D3D7B" w:rsidRPr="00642267" w:rsidRDefault="006D3D7B" w:rsidP="00D94FE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D94FE2" w:rsidRPr="00642267" w:rsidRDefault="00D94FE2" w:rsidP="00D94FE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D94FE2" w:rsidRPr="00642267" w:rsidRDefault="00D94FE2" w:rsidP="00D94FE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hr-HR"/>
        </w:rPr>
      </w:pP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D94FE2" w:rsidRPr="00642267" w:rsidRDefault="00D94FE2" w:rsidP="00D94FE2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hr-HR"/>
        </w:rPr>
      </w:pPr>
      <w:r w:rsidRPr="00642267">
        <w:rPr>
          <w:rFonts w:eastAsia="Times New Roman" w:cstheme="minorHAnsi"/>
          <w:bCs/>
          <w:color w:val="000000"/>
          <w:lang w:eastAsia="hr-HR"/>
        </w:rPr>
        <w:t>Projekt Centar za djecu s poteškoćama u razvoju u Metkoviću je u pripremnoj fazi za što su osigurana sredstva te će planirane aktivnosti započeti u narednom razdoblju.</w:t>
      </w:r>
    </w:p>
    <w:p w:rsidR="00D94FE2" w:rsidRPr="00642267" w:rsidRDefault="00D94FE2" w:rsidP="00D94FE2">
      <w:pPr>
        <w:pStyle w:val="NoSpacing"/>
        <w:rPr>
          <w:rFonts w:asciiTheme="minorHAnsi" w:hAnsiTheme="minorHAnsi" w:cstheme="minorHAnsi"/>
        </w:rPr>
      </w:pP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6"/>
        <w:gridCol w:w="4644"/>
        <w:gridCol w:w="1267"/>
        <w:gridCol w:w="1258"/>
        <w:gridCol w:w="1227"/>
      </w:tblGrid>
      <w:tr w:rsidR="00D94FE2" w:rsidRPr="00642267" w:rsidTr="00943E04">
        <w:tc>
          <w:tcPr>
            <w:tcW w:w="666" w:type="dxa"/>
            <w:shd w:val="clear" w:color="auto" w:fill="F2F2F2" w:themeFill="background1" w:themeFillShade="F2"/>
          </w:tcPr>
          <w:p w:rsidR="00D94FE2" w:rsidRPr="00642267" w:rsidRDefault="00D94FE2" w:rsidP="00943E0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94FE2" w:rsidRPr="00642267" w:rsidRDefault="00D94FE2" w:rsidP="00943E0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67" w:type="dxa"/>
            <w:shd w:val="clear" w:color="auto" w:fill="F2F2F2" w:themeFill="background1" w:themeFillShade="F2"/>
          </w:tcPr>
          <w:p w:rsidR="00D94FE2" w:rsidRPr="00642267" w:rsidRDefault="00D94FE2" w:rsidP="00943E0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:rsidR="00D94FE2" w:rsidRPr="00642267" w:rsidRDefault="00D94FE2" w:rsidP="00943E0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27" w:type="dxa"/>
            <w:shd w:val="clear" w:color="auto" w:fill="F2F2F2" w:themeFill="background1" w:themeFillShade="F2"/>
          </w:tcPr>
          <w:p w:rsidR="00D94FE2" w:rsidRPr="00642267" w:rsidRDefault="00D94FE2" w:rsidP="00943E0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D94FE2" w:rsidRPr="00642267" w:rsidTr="00943E04">
        <w:tc>
          <w:tcPr>
            <w:tcW w:w="666" w:type="dxa"/>
          </w:tcPr>
          <w:p w:rsidR="00D94FE2" w:rsidRPr="00642267" w:rsidRDefault="00D94FE2" w:rsidP="00D94FE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44" w:type="dxa"/>
          </w:tcPr>
          <w:p w:rsidR="00D94FE2" w:rsidRPr="00642267" w:rsidRDefault="00D94FE2" w:rsidP="00D94FE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Sufinanciranje projekta adaptacija dijela zgrade u "Centar za djecu s poteškoćama u razvoju-Ruka prijatelja"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267" w:type="dxa"/>
            <w:vAlign w:val="center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145.995</w:t>
            </w:r>
          </w:p>
        </w:tc>
        <w:tc>
          <w:tcPr>
            <w:tcW w:w="1258" w:type="dxa"/>
            <w:vAlign w:val="center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27" w:type="dxa"/>
            <w:vAlign w:val="center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D94FE2" w:rsidRPr="00642267" w:rsidTr="00943E04">
        <w:tc>
          <w:tcPr>
            <w:tcW w:w="666" w:type="dxa"/>
          </w:tcPr>
          <w:p w:rsidR="00D94FE2" w:rsidRPr="00642267" w:rsidRDefault="00D94FE2" w:rsidP="00D94FE2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44" w:type="dxa"/>
          </w:tcPr>
          <w:p w:rsidR="00D94FE2" w:rsidRPr="00642267" w:rsidRDefault="00D94FE2" w:rsidP="00D94FE2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67" w:type="dxa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145.995</w:t>
            </w:r>
          </w:p>
        </w:tc>
        <w:tc>
          <w:tcPr>
            <w:tcW w:w="1258" w:type="dxa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  <w:tc>
          <w:tcPr>
            <w:tcW w:w="1227" w:type="dxa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</w:tr>
    </w:tbl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cstheme="minorHAnsi"/>
        </w:rPr>
      </w:pPr>
      <w:r w:rsidRPr="00642267">
        <w:rPr>
          <w:rFonts w:asciiTheme="minorHAnsi" w:hAnsiTheme="minorHAnsi" w:cstheme="minorHAnsi"/>
        </w:rPr>
        <w:t xml:space="preserve">Povećanje sredstava radi projekta sufinanciranja adaptacije dijela zgrade u Centar za djecu s poteškoćama u razvoju u Metkoviću. </w:t>
      </w: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A0896" w:rsidRPr="00642267" w:rsidRDefault="00BA0896" w:rsidP="00BA089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PROGRAM 1801</w:t>
      </w:r>
      <w:r w:rsidRPr="00642267">
        <w:rPr>
          <w:rFonts w:eastAsia="Calibri" w:cstheme="minorHAnsi"/>
          <w:b/>
          <w:bCs/>
          <w:spacing w:val="3"/>
        </w:rPr>
        <w:t xml:space="preserve"> EU PROJEKTI – UO ZA ZDRAVSTVO, OBITELJ I BRANITELJE</w:t>
      </w:r>
    </w:p>
    <w:p w:rsidR="00AA6900" w:rsidRPr="00642267" w:rsidRDefault="00AA6900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</w:rPr>
      </w:pPr>
    </w:p>
    <w:p w:rsidR="00AA6900" w:rsidRPr="00642267" w:rsidRDefault="00F440CC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</w:rPr>
      </w:pPr>
      <w:r w:rsidRPr="00642267">
        <w:rPr>
          <w:rFonts w:eastAsia="Calibri" w:cstheme="minorHAnsi"/>
          <w:bCs/>
          <w:spacing w:val="1"/>
        </w:rPr>
        <w:t>Upravni odjel i u 2023. godini nastavlja s provedbom tri projekta sufinancirana iz Europskih fondova. Planirana su sredstva sukladno U</w:t>
      </w:r>
      <w:r w:rsidR="00D85BAD" w:rsidRPr="00642267">
        <w:rPr>
          <w:rFonts w:eastAsia="Calibri" w:cstheme="minorHAnsi"/>
          <w:bCs/>
          <w:spacing w:val="1"/>
        </w:rPr>
        <w:t>govorima o bespovratnim sredstvima</w:t>
      </w:r>
      <w:r w:rsidRPr="00642267">
        <w:rPr>
          <w:rFonts w:eastAsia="Calibri" w:cstheme="minorHAnsi"/>
          <w:bCs/>
          <w:spacing w:val="1"/>
        </w:rPr>
        <w:t xml:space="preserve"> predviđenih projektnih aktivnosti.</w:t>
      </w:r>
    </w:p>
    <w:p w:rsidR="00F440CC" w:rsidRPr="00642267" w:rsidRDefault="00F440CC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"/>
        <w:gridCol w:w="4635"/>
        <w:gridCol w:w="1265"/>
        <w:gridCol w:w="1264"/>
        <w:gridCol w:w="1233"/>
      </w:tblGrid>
      <w:tr w:rsidR="00F440CC" w:rsidRPr="00642267" w:rsidTr="00067E64">
        <w:tc>
          <w:tcPr>
            <w:tcW w:w="665" w:type="dxa"/>
            <w:shd w:val="clear" w:color="auto" w:fill="F2F2F2" w:themeFill="background1" w:themeFillShade="F2"/>
          </w:tcPr>
          <w:p w:rsidR="00F440CC" w:rsidRPr="00642267" w:rsidRDefault="00F440CC" w:rsidP="00F440CC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lastRenderedPageBreak/>
              <w:t>Rb</w:t>
            </w:r>
          </w:p>
        </w:tc>
        <w:tc>
          <w:tcPr>
            <w:tcW w:w="4635" w:type="dxa"/>
            <w:shd w:val="clear" w:color="auto" w:fill="F2F2F2" w:themeFill="background1" w:themeFillShade="F2"/>
          </w:tcPr>
          <w:p w:rsidR="00F440CC" w:rsidRPr="00642267" w:rsidRDefault="00F440CC" w:rsidP="00F440CC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Naziv projekta</w:t>
            </w:r>
          </w:p>
        </w:tc>
        <w:tc>
          <w:tcPr>
            <w:tcW w:w="1265" w:type="dxa"/>
            <w:shd w:val="clear" w:color="auto" w:fill="F2F2F2" w:themeFill="background1" w:themeFillShade="F2"/>
          </w:tcPr>
          <w:p w:rsidR="00F440CC" w:rsidRPr="00642267" w:rsidRDefault="00F440CC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2023.</w:t>
            </w:r>
          </w:p>
        </w:tc>
        <w:tc>
          <w:tcPr>
            <w:tcW w:w="1264" w:type="dxa"/>
            <w:shd w:val="clear" w:color="auto" w:fill="F2F2F2" w:themeFill="background1" w:themeFillShade="F2"/>
          </w:tcPr>
          <w:p w:rsidR="00F440CC" w:rsidRPr="00642267" w:rsidRDefault="00F440CC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2024.</w:t>
            </w:r>
          </w:p>
        </w:tc>
        <w:tc>
          <w:tcPr>
            <w:tcW w:w="1233" w:type="dxa"/>
            <w:shd w:val="clear" w:color="auto" w:fill="F2F2F2" w:themeFill="background1" w:themeFillShade="F2"/>
          </w:tcPr>
          <w:p w:rsidR="00F440CC" w:rsidRPr="00642267" w:rsidRDefault="00F440CC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2025.</w:t>
            </w:r>
          </w:p>
        </w:tc>
      </w:tr>
      <w:tr w:rsidR="00F440CC" w:rsidRPr="00642267" w:rsidTr="00FC144C">
        <w:tc>
          <w:tcPr>
            <w:tcW w:w="665" w:type="dxa"/>
            <w:vAlign w:val="center"/>
          </w:tcPr>
          <w:p w:rsidR="00F440CC" w:rsidRPr="00642267" w:rsidRDefault="00F440CC" w:rsidP="00F440CC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635" w:type="dxa"/>
          </w:tcPr>
          <w:p w:rsidR="00F440CC" w:rsidRPr="00642267" w:rsidRDefault="00CB2764" w:rsidP="00F440CC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Poboljšanje pristupa primarnoj zdravstvenoj zaštiti s naglaskom na udaljena i deprivirana područja kroz ulaganja u potrebe pružatelja usluga zdravstvene zaštite na primarnoj razini</w:t>
            </w:r>
          </w:p>
        </w:tc>
        <w:tc>
          <w:tcPr>
            <w:tcW w:w="1265" w:type="dxa"/>
            <w:vAlign w:val="center"/>
          </w:tcPr>
          <w:p w:rsidR="00F440CC" w:rsidRPr="00642267" w:rsidRDefault="00D14D0B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20.836</w:t>
            </w:r>
          </w:p>
        </w:tc>
        <w:tc>
          <w:tcPr>
            <w:tcW w:w="1264" w:type="dxa"/>
            <w:vAlign w:val="center"/>
          </w:tcPr>
          <w:p w:rsidR="00F440CC" w:rsidRPr="00642267" w:rsidRDefault="00D14D0B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33" w:type="dxa"/>
            <w:vAlign w:val="center"/>
          </w:tcPr>
          <w:p w:rsidR="00F440CC" w:rsidRPr="00642267" w:rsidRDefault="00D14D0B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0</w:t>
            </w:r>
          </w:p>
        </w:tc>
      </w:tr>
      <w:tr w:rsidR="00D85BAD" w:rsidRPr="00642267" w:rsidTr="00FC144C">
        <w:tc>
          <w:tcPr>
            <w:tcW w:w="665" w:type="dxa"/>
            <w:vAlign w:val="center"/>
          </w:tcPr>
          <w:p w:rsidR="00D85BAD" w:rsidRPr="00642267" w:rsidRDefault="00D85BAD" w:rsidP="00D85BAD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35" w:type="dxa"/>
          </w:tcPr>
          <w:p w:rsidR="00D85BAD" w:rsidRPr="00642267" w:rsidRDefault="00D85BAD" w:rsidP="00D85BAD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sz w:val="22"/>
                <w:szCs w:val="22"/>
              </w:rPr>
              <w:t>Osiguravanje sustava podrške za žrtve nasilja u obitelji na području Dubrovačko-neretvanske županije</w:t>
            </w:r>
          </w:p>
        </w:tc>
        <w:tc>
          <w:tcPr>
            <w:tcW w:w="1265" w:type="dxa"/>
            <w:vAlign w:val="center"/>
          </w:tcPr>
          <w:p w:rsidR="00D85BAD" w:rsidRPr="00642267" w:rsidRDefault="00FC01A9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highlight w:val="yellow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1.148.182</w:t>
            </w:r>
          </w:p>
        </w:tc>
        <w:tc>
          <w:tcPr>
            <w:tcW w:w="1264" w:type="dxa"/>
            <w:vAlign w:val="center"/>
          </w:tcPr>
          <w:p w:rsidR="00D85BAD" w:rsidRPr="00642267" w:rsidRDefault="00D85BAD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highlight w:val="yellow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33" w:type="dxa"/>
            <w:vAlign w:val="center"/>
          </w:tcPr>
          <w:p w:rsidR="00D85BAD" w:rsidRPr="00642267" w:rsidRDefault="00D85BAD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0</w:t>
            </w:r>
          </w:p>
        </w:tc>
      </w:tr>
      <w:tr w:rsidR="00CB2764" w:rsidRPr="00642267" w:rsidTr="00FC144C">
        <w:tc>
          <w:tcPr>
            <w:tcW w:w="665" w:type="dxa"/>
            <w:vAlign w:val="center"/>
          </w:tcPr>
          <w:p w:rsidR="00CB2764" w:rsidRPr="00642267" w:rsidRDefault="00CB2764" w:rsidP="00CB2764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3.</w:t>
            </w:r>
          </w:p>
        </w:tc>
        <w:tc>
          <w:tcPr>
            <w:tcW w:w="4635" w:type="dxa"/>
          </w:tcPr>
          <w:p w:rsidR="00CB2764" w:rsidRPr="00642267" w:rsidRDefault="00CB2764" w:rsidP="00CB2764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D-rural</w:t>
            </w:r>
          </w:p>
        </w:tc>
        <w:tc>
          <w:tcPr>
            <w:tcW w:w="1265" w:type="dxa"/>
            <w:vAlign w:val="center"/>
          </w:tcPr>
          <w:p w:rsidR="00CB2764" w:rsidRPr="00642267" w:rsidRDefault="00CB2764" w:rsidP="00FC144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115.773</w:t>
            </w:r>
          </w:p>
        </w:tc>
        <w:tc>
          <w:tcPr>
            <w:tcW w:w="1264" w:type="dxa"/>
            <w:vAlign w:val="center"/>
          </w:tcPr>
          <w:p w:rsidR="00CB2764" w:rsidRPr="00642267" w:rsidRDefault="00CB2764" w:rsidP="00FC144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50.218</w:t>
            </w:r>
          </w:p>
        </w:tc>
        <w:tc>
          <w:tcPr>
            <w:tcW w:w="1233" w:type="dxa"/>
            <w:vAlign w:val="center"/>
          </w:tcPr>
          <w:p w:rsidR="00CB2764" w:rsidRPr="00642267" w:rsidRDefault="00CB2764" w:rsidP="00FC144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</w:tr>
      <w:tr w:rsidR="00CB2764" w:rsidRPr="00642267" w:rsidTr="00FC144C">
        <w:tc>
          <w:tcPr>
            <w:tcW w:w="665" w:type="dxa"/>
            <w:vAlign w:val="center"/>
          </w:tcPr>
          <w:p w:rsidR="00CB2764" w:rsidRPr="00642267" w:rsidRDefault="00CB2764" w:rsidP="00CB2764">
            <w:pPr>
              <w:widowControl w:val="0"/>
              <w:jc w:val="both"/>
              <w:rPr>
                <w:rFonts w:eastAsia="Calibri" w:cstheme="minorHAnsi"/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4635" w:type="dxa"/>
          </w:tcPr>
          <w:p w:rsidR="00CB2764" w:rsidRPr="00642267" w:rsidRDefault="00CB2764" w:rsidP="00CB2764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Ukupno projekti:</w:t>
            </w:r>
          </w:p>
        </w:tc>
        <w:tc>
          <w:tcPr>
            <w:tcW w:w="1265" w:type="dxa"/>
            <w:vAlign w:val="center"/>
          </w:tcPr>
          <w:p w:rsidR="00CB2764" w:rsidRPr="00642267" w:rsidRDefault="00D14D0B" w:rsidP="00FC14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1.284.791</w:t>
            </w:r>
          </w:p>
        </w:tc>
        <w:tc>
          <w:tcPr>
            <w:tcW w:w="1264" w:type="dxa"/>
            <w:vAlign w:val="center"/>
          </w:tcPr>
          <w:p w:rsidR="00CB2764" w:rsidRPr="00642267" w:rsidRDefault="00D14D0B" w:rsidP="00FC14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50.218</w:t>
            </w:r>
          </w:p>
        </w:tc>
        <w:tc>
          <w:tcPr>
            <w:tcW w:w="1233" w:type="dxa"/>
            <w:vAlign w:val="center"/>
          </w:tcPr>
          <w:p w:rsidR="00CB2764" w:rsidRPr="00642267" w:rsidRDefault="00D14D0B" w:rsidP="00FC14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</w:t>
            </w:r>
          </w:p>
        </w:tc>
      </w:tr>
    </w:tbl>
    <w:p w:rsidR="00F440CC" w:rsidRPr="00642267" w:rsidRDefault="00F440CC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</w:rPr>
      </w:pP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</w:rPr>
        <w:t>Cilj:</w:t>
      </w:r>
      <w:r w:rsidRPr="00642267">
        <w:rPr>
          <w:rFonts w:eastAsia="Calibri" w:cstheme="minorHAnsi"/>
        </w:rPr>
        <w:t xml:space="preserve"> Kvalitetno i pravovremeno provođenje projektnih aktivnosti predviđenih EU projektima koji se provode u okviru Upravnog odjela za zdravstvo, obitelj i branitelje i to:</w:t>
      </w:r>
    </w:p>
    <w:p w:rsidR="00772AB7" w:rsidRPr="00642267" w:rsidRDefault="00772AB7" w:rsidP="00772AB7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/>
        </w:rPr>
      </w:pPr>
      <w:r w:rsidRPr="00642267">
        <w:t>Poboljšanje pristupa primarnoj zdravstvenoj zaštiti s naglaskom na udaljena i deprivirana područja kroz ulaganja u potrebe pružatelja usluga zdravstvene zaštite na primarnoj razini</w:t>
      </w:r>
    </w:p>
    <w:p w:rsidR="00772AB7" w:rsidRPr="00642267" w:rsidRDefault="00772AB7" w:rsidP="00772AB7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/>
        </w:rPr>
      </w:pPr>
      <w:r w:rsidRPr="00642267">
        <w:t>Osiguravanje sustava podrške za žrtve nasilja u obitelji na području Dubrovačko-neretvanske županije</w:t>
      </w:r>
    </w:p>
    <w:p w:rsidR="00772AB7" w:rsidRPr="00642267" w:rsidRDefault="00772AB7" w:rsidP="00772AB7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/>
        </w:rPr>
      </w:pPr>
      <w:r w:rsidRPr="00642267">
        <w:t>Projekt D-RURAL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</w:rPr>
        <w:t>Nositelj aktivnosti:</w:t>
      </w:r>
      <w:r w:rsidRPr="00642267">
        <w:rPr>
          <w:rFonts w:eastAsia="Calibri" w:cstheme="minorHAnsi"/>
        </w:rPr>
        <w:t xml:space="preserve"> Upravni odjel za zdravstvo, obitelj i branitelje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</w:rPr>
        <w:t>Zakonska osnova:</w:t>
      </w:r>
      <w:r w:rsidRPr="00642267">
        <w:rPr>
          <w:rFonts w:eastAsia="Calibri" w:cstheme="minorHAnsi"/>
        </w:rPr>
        <w:t xml:space="preserve"> Zakon o uspostavi institucionalnog okvira za provedbu Europskih strukturnih i investicijskih fondova u Republici Hrvatskoj u financijskom razdoblju 2014.-2020.</w:t>
      </w:r>
      <w:r w:rsidR="00A74BF7" w:rsidRPr="00642267">
        <w:rPr>
          <w:rFonts w:eastAsia="Calibri" w:cstheme="minorHAnsi"/>
        </w:rPr>
        <w:t xml:space="preserve">, </w:t>
      </w:r>
      <w:r w:rsidR="00A74BF7" w:rsidRPr="00642267">
        <w:rPr>
          <w:rFonts w:cstheme="minorHAnsi"/>
        </w:rPr>
        <w:t xml:space="preserve"> </w:t>
      </w:r>
    </w:p>
    <w:p w:rsidR="006D3D7B" w:rsidRPr="00642267" w:rsidRDefault="006D3D7B" w:rsidP="00772AB7">
      <w:pPr>
        <w:widowControl w:val="0"/>
        <w:spacing w:after="0" w:line="240" w:lineRule="auto"/>
        <w:jc w:val="both"/>
        <w:rPr>
          <w:rFonts w:eastAsia="Calibri" w:cstheme="minorHAnsi"/>
          <w:b/>
        </w:rPr>
      </w:pPr>
      <w:r w:rsidRPr="00642267">
        <w:rPr>
          <w:rFonts w:cstheme="minorHAnsi"/>
          <w:b/>
        </w:rPr>
        <w:t>POVEZANOST PROGRAMA SA STRATEŠKIM DOKUMENTOM:</w:t>
      </w:r>
      <w:r w:rsidR="00E95F37" w:rsidRPr="00642267">
        <w:rPr>
          <w:rFonts w:cstheme="minorHAnsi"/>
        </w:rPr>
        <w:t xml:space="preserve"> Plan razvoja Dubrovačko-neretvanske županije do 2027., Provedbeni program Dubrovačko-neretvanske županije do 2025., Cilj 2.1. Unaprjeđenje kvalitete i dostupnosti društvenih usluga; Mjera 2.1.2. Unaprjeđenje zdravstvenih usluga i skrbi, Mjera 2.1.3. Osnaživanje sustava socijalne uključenosti.</w:t>
      </w:r>
    </w:p>
    <w:p w:rsidR="006D3D7B" w:rsidRPr="00642267" w:rsidRDefault="006D3D7B" w:rsidP="00772AB7">
      <w:pPr>
        <w:widowControl w:val="0"/>
        <w:spacing w:after="0" w:line="240" w:lineRule="auto"/>
        <w:jc w:val="both"/>
        <w:rPr>
          <w:rFonts w:eastAsia="Calibri" w:cstheme="minorHAnsi"/>
          <w:b/>
        </w:rPr>
      </w:pPr>
    </w:p>
    <w:p w:rsidR="00772AB7" w:rsidRPr="00642267" w:rsidRDefault="00BA0896" w:rsidP="00772AB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</w:rPr>
        <w:t>Pokazatelj</w:t>
      </w:r>
      <w:r w:rsidR="00772AB7" w:rsidRPr="00642267">
        <w:rPr>
          <w:rFonts w:eastAsia="Calibri" w:cstheme="minorHAnsi"/>
          <w:b/>
        </w:rPr>
        <w:t>i</w:t>
      </w:r>
      <w:r w:rsidRPr="00642267">
        <w:rPr>
          <w:rFonts w:eastAsia="Calibri" w:cstheme="minorHAnsi"/>
          <w:b/>
        </w:rPr>
        <w:t xml:space="preserve"> uspješnosti:</w:t>
      </w:r>
      <w:r w:rsidRPr="00642267">
        <w:rPr>
          <w:rFonts w:eastAsia="Calibri" w:cstheme="minorHAnsi"/>
        </w:rPr>
        <w:t xml:space="preserve"> </w:t>
      </w:r>
    </w:p>
    <w:p w:rsidR="00BA0896" w:rsidRPr="00642267" w:rsidRDefault="00772AB7" w:rsidP="00772AB7">
      <w:pPr>
        <w:widowControl w:val="0"/>
        <w:spacing w:after="0" w:line="240" w:lineRule="auto"/>
        <w:ind w:firstLine="708"/>
        <w:jc w:val="both"/>
        <w:rPr>
          <w:rFonts w:cstheme="minorHAnsi"/>
        </w:rPr>
      </w:pPr>
      <w:r w:rsidRPr="00642267">
        <w:rPr>
          <w:rFonts w:cstheme="minorHAnsi"/>
          <w:b/>
        </w:rPr>
        <w:t>Poboljšanje pristupa primarnoj zdravstvenoj zaštiti s naglaskom na udaljena i deprivirana područja kroz ulaganja u potrebe pružatelja usluga zdravstvene zaštite na primarnoj razini:</w:t>
      </w:r>
      <w:r w:rsidRPr="00642267">
        <w:rPr>
          <w:rFonts w:cstheme="minorHAnsi"/>
        </w:rPr>
        <w:t xml:space="preserve"> </w:t>
      </w:r>
      <w:r w:rsidR="00BA0896" w:rsidRPr="00642267">
        <w:rPr>
          <w:rFonts w:cstheme="minorHAnsi"/>
        </w:rPr>
        <w:t xml:space="preserve">Projektom je nabavljena dijagnostičko-terapijska i medicinsko-tehnička oprema u iznosu od </w:t>
      </w:r>
      <w:r w:rsidR="00F106DB" w:rsidRPr="00642267">
        <w:rPr>
          <w:rFonts w:cstheme="minorHAnsi"/>
        </w:rPr>
        <w:t xml:space="preserve">278.718 EUR, odnosno </w:t>
      </w:r>
      <w:r w:rsidR="00BA0896" w:rsidRPr="00642267">
        <w:rPr>
          <w:rFonts w:cstheme="minorHAnsi"/>
        </w:rPr>
        <w:t xml:space="preserve">2,1 milijun kuna. </w:t>
      </w:r>
      <w:r w:rsidR="000A629E" w:rsidRPr="00642267">
        <w:rPr>
          <w:rFonts w:cstheme="minorHAnsi"/>
        </w:rPr>
        <w:t xml:space="preserve">Završeni </w:t>
      </w:r>
      <w:r w:rsidR="00BA0896" w:rsidRPr="00642267">
        <w:rPr>
          <w:rFonts w:cstheme="minorHAnsi"/>
        </w:rPr>
        <w:t>su radovi na ugradnji liftova za osobe s invaliditetom u Domu zdravlja dr. Ante Franulović u Vela Luci i organizacijskoj jedinici Blato, za što je Dubrovačko-neretvanska županija osigurala dodatnih milijun kuna u okviru svog Proračuna za 2021. godinu. Nabavom navedene opreme, te puštanjem u pogon iste, te odrađenim infrastrukturnim zahvatima unaprijedit će se zdravlje otočkog stanovništva i poluotoka Pelješca, poboljšati sigurnost pacijenata te osigurati dostupnost, kvaliteta i učinkovitost pružatelja zdravstvenih usluga.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>Predviđeno trajanje projekta je do 1. prosinca 2022 godine.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A0896" w:rsidRPr="00642267" w:rsidRDefault="00772AB7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ab/>
      </w:r>
      <w:r w:rsidRPr="00642267">
        <w:rPr>
          <w:rFonts w:eastAsia="Calibri" w:cstheme="minorHAnsi"/>
          <w:b/>
        </w:rPr>
        <w:t>Osiguravanje sustava podrške za žrtve nasilja u obitelji na području Dubrovačko-neretvanske županije</w:t>
      </w:r>
      <w:r w:rsidRPr="00642267">
        <w:rPr>
          <w:rFonts w:eastAsia="Calibri" w:cstheme="minorHAnsi"/>
        </w:rPr>
        <w:t xml:space="preserve">: </w:t>
      </w:r>
      <w:r w:rsidR="00BA0896" w:rsidRPr="00642267">
        <w:rPr>
          <w:rFonts w:eastAsia="Calibri" w:cstheme="minorHAnsi"/>
        </w:rPr>
        <w:t xml:space="preserve">Projektom Osiguranja sustava podrške </w:t>
      </w:r>
      <w:r w:rsidR="00D14D0B" w:rsidRPr="00642267">
        <w:rPr>
          <w:rFonts w:eastAsia="Calibri" w:cstheme="minorHAnsi"/>
        </w:rPr>
        <w:t>žrtvama</w:t>
      </w:r>
      <w:r w:rsidR="00BA0896" w:rsidRPr="00642267">
        <w:rPr>
          <w:rFonts w:eastAsia="Calibri" w:cstheme="minorHAnsi"/>
        </w:rPr>
        <w:t xml:space="preserve"> nasilja u obitelji rekonstruirat će se i opremiti objekt u Dubrovačko-neretvanskoj županiji koji će služiti kao sklonište za žrtve nasilja u obitelji, a sastojat će se od tri odvojene stambene jedinice (od kojih je jedna potpuno prilagođena osobama s invaliditetom), zajedničkih rehabilitacijskih prostorija, dizala za osobe s invaliditetom, praonice rublja i zajedničkog vanjskog prostora terase. Provest će se dvije serije edukativnih aktivnosti s ciljem jačanja kapaciteta stručnjaka koji rade sa žrtvama nasilja u obitelji: 1) za 12 stručnjaka iz područja socijalne skrbi i 2) multisektorska edukacija za 20 stručnjaka.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>Projektom se provodi i javna kampanja podizanja svijesti šire i stručne javnosti o neprihvatljivosti nasilja i nasilničkog ponašanja.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>Predviđeno trajanje projekta je do 15. kolovoza 2023. godine.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A0896" w:rsidRPr="00642267" w:rsidRDefault="00772AB7" w:rsidP="00772AB7">
      <w:pPr>
        <w:widowControl w:val="0"/>
        <w:spacing w:after="0" w:line="240" w:lineRule="auto"/>
        <w:ind w:firstLine="708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</w:rPr>
        <w:t>Projekt D-RURAL</w:t>
      </w:r>
      <w:r w:rsidRPr="00642267">
        <w:rPr>
          <w:rFonts w:eastAsia="Calibri" w:cstheme="minorHAnsi"/>
        </w:rPr>
        <w:t xml:space="preserve">: </w:t>
      </w:r>
      <w:r w:rsidR="00BA0896" w:rsidRPr="00642267">
        <w:rPr>
          <w:rFonts w:eastAsia="Calibri" w:cstheme="minorHAnsi"/>
        </w:rPr>
        <w:t xml:space="preserve">Cilj projekta D-RURAL je razviti i uspostaviti digitalno rješenje koje će </w:t>
      </w:r>
      <w:r w:rsidR="00BA0896" w:rsidRPr="00642267">
        <w:rPr>
          <w:rFonts w:eastAsia="Calibri" w:cstheme="minorHAnsi"/>
        </w:rPr>
        <w:lastRenderedPageBreak/>
        <w:t>poboljšati razinu pristupačnosti usluga stanovnicima ruralnih područja, te samim time olakšati put subjektima koje nude svoje usluge do krajnjih korisnika (kupaca). U okviru dRural projekta razvija se dva konkretna projekta za dolinu Neretve – digitalnu čekaonicu u Domu zdravlja Metković i virtualnu tržnicu za dolinu Neretve. Projekt se u potpunosti financira iz programa Europske unije OBZOR 2020., prora</w:t>
      </w:r>
      <w:r w:rsidR="00F106DB" w:rsidRPr="00642267">
        <w:rPr>
          <w:rFonts w:eastAsia="Calibri" w:cstheme="minorHAnsi"/>
        </w:rPr>
        <w:t xml:space="preserve">čun projekta je oko </w:t>
      </w:r>
      <w:r w:rsidR="00BA0896" w:rsidRPr="00642267">
        <w:rPr>
          <w:rFonts w:eastAsia="Calibri" w:cstheme="minorHAnsi"/>
        </w:rPr>
        <w:t>1</w:t>
      </w:r>
      <w:r w:rsidR="00F106DB" w:rsidRPr="00642267">
        <w:rPr>
          <w:rFonts w:eastAsia="Calibri" w:cstheme="minorHAnsi"/>
        </w:rPr>
        <w:t>5</w:t>
      </w:r>
      <w:r w:rsidR="00BA0896" w:rsidRPr="00642267">
        <w:rPr>
          <w:rFonts w:eastAsia="Calibri" w:cstheme="minorHAnsi"/>
        </w:rPr>
        <w:t xml:space="preserve"> milijuna </w:t>
      </w:r>
      <w:r w:rsidR="00F106DB" w:rsidRPr="00642267">
        <w:rPr>
          <w:rFonts w:eastAsia="Calibri" w:cstheme="minorHAnsi"/>
        </w:rPr>
        <w:t>eura</w:t>
      </w:r>
      <w:r w:rsidR="00BA0896" w:rsidRPr="00642267">
        <w:rPr>
          <w:rFonts w:eastAsia="Calibri" w:cstheme="minorHAnsi"/>
        </w:rPr>
        <w:t xml:space="preserve">, dok je projekt za Dubrovačko-neretvansku županiju vrijedan oko </w:t>
      </w:r>
      <w:r w:rsidR="00F106DB" w:rsidRPr="00642267">
        <w:rPr>
          <w:rFonts w:eastAsia="Calibri" w:cstheme="minorHAnsi"/>
        </w:rPr>
        <w:t>212 tisuća eura</w:t>
      </w:r>
      <w:r w:rsidR="00BA0896" w:rsidRPr="00642267">
        <w:rPr>
          <w:rFonts w:eastAsia="Calibri" w:cstheme="minorHAnsi"/>
        </w:rPr>
        <w:t>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 xml:space="preserve">Predviđeno trajanje projekta je do 30. lipnja 2024. godine. </w:t>
      </w:r>
    </w:p>
    <w:p w:rsidR="00AA6900" w:rsidRPr="00642267" w:rsidRDefault="00AA6900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AA6900" w:rsidRPr="00642267" w:rsidRDefault="00AA6900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A0896" w:rsidRPr="00642267" w:rsidRDefault="00BA0896" w:rsidP="00BA089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GLAVA 10802 – USTANOVE U ZDRAVSTVU I SOCIJALNOJ SKRBI</w:t>
      </w:r>
    </w:p>
    <w:p w:rsidR="00CD00F0" w:rsidRPr="00642267" w:rsidRDefault="00CD00F0" w:rsidP="00B03D0E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7819AF" w:rsidRPr="00642267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 xml:space="preserve">PROGRAM 1209 ZAKONSKI STANDARD USTANOVA U ZDRAVSTVU </w:t>
      </w:r>
    </w:p>
    <w:p w:rsidR="007819AF" w:rsidRPr="00642267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DECENTRALIZIRANE FUNKCIJE</w:t>
      </w:r>
    </w:p>
    <w:p w:rsidR="001702EB" w:rsidRPr="00642267" w:rsidRDefault="001702EB" w:rsidP="00D87FC2">
      <w:pPr>
        <w:shd w:val="clear" w:color="auto" w:fill="FFFFFF"/>
        <w:jc w:val="both"/>
        <w:rPr>
          <w:rFonts w:cstheme="minorHAnsi"/>
          <w:b/>
        </w:rPr>
      </w:pPr>
    </w:p>
    <w:p w:rsidR="00D87FC2" w:rsidRPr="00642267" w:rsidRDefault="00D87FC2" w:rsidP="00D87FC2">
      <w:pPr>
        <w:shd w:val="clear" w:color="auto" w:fill="FFFFFF"/>
        <w:jc w:val="both"/>
        <w:rPr>
          <w:rFonts w:cstheme="minorHAnsi"/>
          <w:b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>Decentraliziranim financiranjem  zdravstvenih ustanova u Županiji osiguravaju se sredstva za održavanje zdravstvenih ustanova (materijalni rashodi) i investicijska i kapitalna ulaganja u ustanove (opremanje, adaptacija i sanacija – rashodi za nabavu nefinancijske imovine).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POSEBNI CILJ: </w:t>
      </w:r>
      <w:r w:rsidRPr="00642267">
        <w:rPr>
          <w:rFonts w:asciiTheme="minorHAnsi" w:hAnsiTheme="minorHAnsi" w:cstheme="minorHAnsi"/>
        </w:rPr>
        <w:t>Kvalitetno funkcioniranje zdravstvenih ustanova na području Dubrovačko-neretvanske županije.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 xml:space="preserve">: </w:t>
      </w:r>
    </w:p>
    <w:p w:rsidR="00D87FC2" w:rsidRPr="00642267" w:rsidRDefault="00D87FC2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cstheme="minorHAnsi"/>
        </w:rPr>
      </w:pPr>
      <w:r w:rsidRPr="00642267">
        <w:rPr>
          <w:rFonts w:asciiTheme="minorHAnsi" w:hAnsiTheme="minorHAnsi" w:cstheme="minorHAnsi"/>
        </w:rPr>
        <w:t>Zakon o zdravstvenoj zaštiti</w:t>
      </w:r>
      <w:r w:rsidR="00E95F37" w:rsidRPr="00642267">
        <w:rPr>
          <w:rFonts w:asciiTheme="minorHAnsi" w:hAnsiTheme="minorHAnsi" w:cstheme="minorHAnsi"/>
        </w:rPr>
        <w:t>.</w:t>
      </w:r>
      <w:r w:rsidR="00B85EAC" w:rsidRPr="00642267">
        <w:rPr>
          <w:rFonts w:asciiTheme="minorHAnsi" w:hAnsiTheme="minorHAnsi" w:cstheme="minorHAnsi"/>
        </w:rPr>
        <w:t xml:space="preserve"> </w:t>
      </w:r>
    </w:p>
    <w:p w:rsidR="00B85EAC" w:rsidRPr="00642267" w:rsidRDefault="00B85EAC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6D3D7B" w:rsidRPr="00642267" w:rsidRDefault="006D3D7B" w:rsidP="00E95F37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E95F37" w:rsidRPr="00642267">
        <w:rPr>
          <w:rFonts w:asciiTheme="minorHAnsi" w:hAnsiTheme="minorHAnsi" w:cstheme="minorHAnsi"/>
        </w:rPr>
        <w:t xml:space="preserve"> Plan razvoja Dubrovačko-neretvanske županije do 2027., Provedbeni program Dubrovačko-neretvanske županije do 2025., Cilj 2.1. Unaprjeđenje kvalitete i dostupnosti društvenih usluga; Mjera 2.1.2. </w:t>
      </w:r>
      <w:r w:rsidR="00E95F37" w:rsidRPr="00642267">
        <w:rPr>
          <w:rFonts w:cstheme="minorHAnsi"/>
        </w:rPr>
        <w:t>Unaprjeđenje zdravstvenih usluga i skrbi provodi se kroz aktivnosti: Održavanje zdravstvenih ustanova, Opremanje zdravstvenih ustanova, Kapitalna ulaganja u zdravstvene ustanove, Informatizacija zdravstvenih ustanova.</w:t>
      </w:r>
    </w:p>
    <w:p w:rsidR="006D3D7B" w:rsidRPr="00642267" w:rsidRDefault="006D3D7B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D87FC2" w:rsidRPr="00642267" w:rsidRDefault="00D87FC2" w:rsidP="00D87FC2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</w:rPr>
        <w:t>Zdravstvene ustanove po provedenim postupcima javne nabave dokumentaciju ( račun, privremenu/okončanu situaciju o nabavljenoj robi ili izvršenim uslugama, ugovor, zapisnik o primopredaji ) dostavljaju Upravnom odjelu za društvene djelatnosti koji mjesečnim Izvješćima upućenim Ministarstvu zdravstva potražuje potrebna sredstva i isplaćuje ih ustanovama.</w:t>
      </w:r>
    </w:p>
    <w:p w:rsidR="00821F17" w:rsidRPr="00642267" w:rsidRDefault="00821F17" w:rsidP="00D87FC2">
      <w:pPr>
        <w:shd w:val="clear" w:color="auto" w:fill="FFFFFF"/>
        <w:jc w:val="both"/>
        <w:rPr>
          <w:rFonts w:cstheme="minorHAnsi"/>
        </w:rPr>
      </w:pPr>
    </w:p>
    <w:p w:rsidR="00821F17" w:rsidRPr="00642267" w:rsidRDefault="00821F17" w:rsidP="00D87FC2">
      <w:pPr>
        <w:shd w:val="clear" w:color="auto" w:fill="FFFFFF"/>
        <w:jc w:val="both"/>
        <w:rPr>
          <w:rFonts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3"/>
        <w:gridCol w:w="4455"/>
        <w:gridCol w:w="1318"/>
        <w:gridCol w:w="1318"/>
        <w:gridCol w:w="1318"/>
      </w:tblGrid>
      <w:tr w:rsidR="00D87FC2" w:rsidRPr="00642267" w:rsidTr="00D14D0B">
        <w:tc>
          <w:tcPr>
            <w:tcW w:w="653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455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D87FC2" w:rsidRPr="00642267" w:rsidRDefault="00D87FC2" w:rsidP="001702EB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</w:t>
            </w:r>
            <w:r w:rsidR="001702E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D87FC2" w:rsidRPr="00642267" w:rsidRDefault="00D87FC2" w:rsidP="001702EB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</w:t>
            </w:r>
            <w:r w:rsidR="001702E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D87FC2" w:rsidRPr="00642267" w:rsidRDefault="00D87FC2" w:rsidP="001702EB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</w:t>
            </w:r>
            <w:r w:rsidR="001702E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D87FC2" w:rsidRPr="00642267" w:rsidTr="00D14D0B">
        <w:tc>
          <w:tcPr>
            <w:tcW w:w="653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455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Održavanje zdravstvenih ustanova</w:t>
            </w:r>
          </w:p>
        </w:tc>
        <w:tc>
          <w:tcPr>
            <w:tcW w:w="1318" w:type="dxa"/>
          </w:tcPr>
          <w:p w:rsidR="00D87FC2" w:rsidRPr="00642267" w:rsidRDefault="00D14D0B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821.755</w:t>
            </w:r>
          </w:p>
        </w:tc>
        <w:tc>
          <w:tcPr>
            <w:tcW w:w="1318" w:type="dxa"/>
          </w:tcPr>
          <w:p w:rsidR="00D87FC2" w:rsidRPr="00642267" w:rsidRDefault="00D14D0B" w:rsidP="009F4165">
            <w:pPr>
              <w:pStyle w:val="NoSpacing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821.755</w:t>
            </w:r>
          </w:p>
        </w:tc>
        <w:tc>
          <w:tcPr>
            <w:tcW w:w="1318" w:type="dxa"/>
          </w:tcPr>
          <w:p w:rsidR="00D87FC2" w:rsidRPr="00642267" w:rsidRDefault="00D14D0B" w:rsidP="009F4165">
            <w:pPr>
              <w:pStyle w:val="NoSpacing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821.755</w:t>
            </w:r>
          </w:p>
        </w:tc>
      </w:tr>
      <w:tr w:rsidR="00D14D0B" w:rsidRPr="00642267" w:rsidTr="00D14D0B">
        <w:tc>
          <w:tcPr>
            <w:tcW w:w="653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455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Opremanje zdravstvenih ustanova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611.345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611.345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611.345</w:t>
            </w:r>
          </w:p>
        </w:tc>
      </w:tr>
      <w:tr w:rsidR="00D14D0B" w:rsidRPr="00642267" w:rsidTr="00D14D0B">
        <w:tc>
          <w:tcPr>
            <w:tcW w:w="653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455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Kapitalna ulaganja u zdravstvene ustanove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254.824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254.824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254.824</w:t>
            </w:r>
          </w:p>
        </w:tc>
      </w:tr>
      <w:tr w:rsidR="00D14D0B" w:rsidRPr="00642267" w:rsidTr="00D14D0B">
        <w:tc>
          <w:tcPr>
            <w:tcW w:w="653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455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Informatizacija zdravstvenih ustanova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494.121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494.121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494.121</w:t>
            </w:r>
          </w:p>
        </w:tc>
      </w:tr>
      <w:tr w:rsidR="00D14D0B" w:rsidRPr="00642267" w:rsidTr="00D14D0B">
        <w:tc>
          <w:tcPr>
            <w:tcW w:w="653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455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2.182.045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2.182.045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2.182.045</w:t>
            </w:r>
          </w:p>
        </w:tc>
      </w:tr>
    </w:tbl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lastRenderedPageBreak/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Nema odstupanja.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 xml:space="preserve">PROGRAM 1210 ZAKONSKI STANDARD USTANOVA U SOCIJALNOJ SKRBI </w:t>
      </w:r>
    </w:p>
    <w:p w:rsidR="00D87FC2" w:rsidRPr="00642267" w:rsidRDefault="00D87FC2" w:rsidP="00D87FC2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DECENTRALIZIRANE FUNKCIJE</w:t>
      </w:r>
    </w:p>
    <w:p w:rsidR="007819AF" w:rsidRPr="00642267" w:rsidRDefault="007819AF" w:rsidP="007819AF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D87FC2" w:rsidRPr="00642267" w:rsidRDefault="00D87FC2" w:rsidP="00D87FC2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>Decentraliziranim financiranjem domova za starije i nemoćne osobe u Županiji osiguravaju se sredstva za rashode za zaposlene, materijalne i financijske rashode, hitne intervencije i rashode za nabavu nefinancijske imovine.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POSEBNI CILJ: </w:t>
      </w:r>
      <w:r w:rsidRPr="00642267">
        <w:rPr>
          <w:rFonts w:asciiTheme="minorHAnsi" w:hAnsiTheme="minorHAnsi" w:cstheme="minorHAnsi"/>
        </w:rPr>
        <w:t>Kvalitetno funkcioniranje domova za starije i nemoćne osobe na području Dubrovačko-neretvanske županije.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EF6C06" w:rsidRPr="00642267" w:rsidRDefault="00D87FC2" w:rsidP="00EF6C06">
      <w:pPr>
        <w:widowControl w:val="0"/>
        <w:spacing w:after="0" w:line="240" w:lineRule="auto"/>
        <w:jc w:val="both"/>
        <w:rPr>
          <w:rFonts w:cstheme="minorHAnsi"/>
        </w:rPr>
      </w:pPr>
      <w:r w:rsidRPr="00642267">
        <w:rPr>
          <w:rFonts w:cstheme="minorHAnsi"/>
          <w:b/>
        </w:rPr>
        <w:t>ZAKONSKE I DRUGE PODLOGE NA KOJIMA SE PROGRAM ZASNIVA</w:t>
      </w:r>
      <w:r w:rsidRPr="00642267">
        <w:rPr>
          <w:rFonts w:cstheme="minorHAnsi"/>
        </w:rPr>
        <w:t>: Zakon o socijalnoj skrbi</w:t>
      </w:r>
      <w:r w:rsidR="00E95F37" w:rsidRPr="00642267">
        <w:rPr>
          <w:rFonts w:cstheme="minorHAnsi"/>
        </w:rPr>
        <w:t xml:space="preserve">. </w:t>
      </w:r>
    </w:p>
    <w:p w:rsidR="00E95F37" w:rsidRPr="00642267" w:rsidRDefault="00E95F37" w:rsidP="00EF6C06">
      <w:pPr>
        <w:widowControl w:val="0"/>
        <w:spacing w:after="0" w:line="240" w:lineRule="auto"/>
        <w:jc w:val="both"/>
        <w:rPr>
          <w:rFonts w:cstheme="minorHAnsi"/>
          <w:b/>
        </w:rPr>
      </w:pPr>
    </w:p>
    <w:p w:rsidR="006D3D7B" w:rsidRPr="00642267" w:rsidRDefault="006D3D7B" w:rsidP="00E95F37">
      <w:pPr>
        <w:widowControl w:val="0"/>
        <w:spacing w:after="0" w:line="240" w:lineRule="auto"/>
        <w:jc w:val="both"/>
        <w:rPr>
          <w:rFonts w:cstheme="minorHAnsi"/>
        </w:rPr>
      </w:pPr>
      <w:r w:rsidRPr="00642267">
        <w:rPr>
          <w:rFonts w:cstheme="minorHAnsi"/>
          <w:b/>
        </w:rPr>
        <w:t>POVEZANOST PROGRAMA SA STRATEŠKIM DOKUMENTOM:</w:t>
      </w:r>
      <w:r w:rsidR="00E95F37" w:rsidRPr="00642267">
        <w:rPr>
          <w:rFonts w:cstheme="minorHAnsi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 uključuje aktivnosti: Materijalni rashodi domova za starije osobe, Investicijska ulaganja u domove za starije osobe, Kapitalna ulaganja za domove za starije osobe.</w:t>
      </w:r>
    </w:p>
    <w:p w:rsidR="006D3D7B" w:rsidRPr="00642267" w:rsidRDefault="006D3D7B" w:rsidP="00EF6C0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D87FC2" w:rsidRPr="00642267" w:rsidRDefault="00D87FC2" w:rsidP="001702EB">
      <w:pPr>
        <w:pStyle w:val="Footer"/>
        <w:tabs>
          <w:tab w:val="left" w:pos="708"/>
        </w:tabs>
        <w:jc w:val="both"/>
        <w:rPr>
          <w:rFonts w:asciiTheme="minorHAnsi" w:hAnsiTheme="minorHAnsi" w:cstheme="minorHAnsi"/>
          <w:sz w:val="22"/>
        </w:rPr>
      </w:pPr>
      <w:r w:rsidRPr="00642267">
        <w:rPr>
          <w:rFonts w:asciiTheme="minorHAnsi" w:hAnsiTheme="minorHAnsi" w:cstheme="minorHAnsi"/>
          <w:sz w:val="22"/>
        </w:rPr>
        <w:t>Aktivnost domova za starije i nemoćne osobe je realizirana sukladno Odluci o kriterijima, mjerilima i načinu financiranja domova za starije i nemoćne osobe u Dubrovačko-neretvanskoj županiji, a prema mjesečnim zahtjevima iskazanim po stvarnim troškovima.</w:t>
      </w:r>
      <w:r w:rsidR="001702EB" w:rsidRPr="00642267">
        <w:rPr>
          <w:rFonts w:asciiTheme="minorHAnsi" w:hAnsiTheme="minorHAnsi" w:cstheme="minorHAnsi"/>
          <w:sz w:val="22"/>
        </w:rPr>
        <w:t xml:space="preserve"> </w:t>
      </w:r>
      <w:r w:rsidRPr="00642267">
        <w:rPr>
          <w:rFonts w:asciiTheme="minorHAnsi" w:hAnsiTheme="minorHAnsi" w:cstheme="minorHAnsi"/>
          <w:sz w:val="22"/>
        </w:rPr>
        <w:t xml:space="preserve">Prema novom Zakonu o socijalnoj skrbi materijalne rashode Centara za socijalnu skrb će u 2023. godini financirati Zavod za socijalnu skrb kojeg je osnivač Ministarstvo rada, mirovinskog sustava, obitelji i socijalne politike. 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4612"/>
        <w:gridCol w:w="1273"/>
        <w:gridCol w:w="1272"/>
        <w:gridCol w:w="1241"/>
      </w:tblGrid>
      <w:tr w:rsidR="00D87FC2" w:rsidRPr="00642267" w:rsidTr="009F4165">
        <w:tc>
          <w:tcPr>
            <w:tcW w:w="664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12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72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6F0A9B" w:rsidRPr="00642267" w:rsidTr="009F4165">
        <w:tc>
          <w:tcPr>
            <w:tcW w:w="664" w:type="dxa"/>
          </w:tcPr>
          <w:p w:rsidR="006F0A9B" w:rsidRPr="00642267" w:rsidRDefault="006F0A9B" w:rsidP="006F0A9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12" w:type="dxa"/>
          </w:tcPr>
          <w:p w:rsidR="006F0A9B" w:rsidRPr="00642267" w:rsidRDefault="006F0A9B" w:rsidP="006F0A9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Materijalni rashodi domova za starije osobe</w:t>
            </w:r>
          </w:p>
        </w:tc>
        <w:tc>
          <w:tcPr>
            <w:tcW w:w="1273" w:type="dxa"/>
          </w:tcPr>
          <w:p w:rsidR="006F0A9B" w:rsidRPr="00642267" w:rsidRDefault="006F0A9B" w:rsidP="006F0A9B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1.396.553</w:t>
            </w:r>
          </w:p>
        </w:tc>
        <w:tc>
          <w:tcPr>
            <w:tcW w:w="1272" w:type="dxa"/>
          </w:tcPr>
          <w:p w:rsidR="006F0A9B" w:rsidRPr="00642267" w:rsidRDefault="006F0A9B" w:rsidP="006F0A9B">
            <w:pPr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1.396.553</w:t>
            </w:r>
          </w:p>
        </w:tc>
        <w:tc>
          <w:tcPr>
            <w:tcW w:w="1241" w:type="dxa"/>
          </w:tcPr>
          <w:p w:rsidR="006F0A9B" w:rsidRPr="00642267" w:rsidRDefault="006F0A9B" w:rsidP="006F0A9B">
            <w:pPr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1.396.553</w:t>
            </w:r>
          </w:p>
        </w:tc>
      </w:tr>
      <w:tr w:rsidR="00D87FC2" w:rsidRPr="00642267" w:rsidTr="009F4165">
        <w:tc>
          <w:tcPr>
            <w:tcW w:w="664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12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Investicijska ulaganja u domove za starije osobe</w:t>
            </w:r>
          </w:p>
        </w:tc>
        <w:tc>
          <w:tcPr>
            <w:tcW w:w="1273" w:type="dxa"/>
            <w:vAlign w:val="center"/>
          </w:tcPr>
          <w:p w:rsidR="00D87FC2" w:rsidRPr="00642267" w:rsidRDefault="00D87FC2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19.908</w:t>
            </w:r>
          </w:p>
        </w:tc>
        <w:tc>
          <w:tcPr>
            <w:tcW w:w="1272" w:type="dxa"/>
            <w:vAlign w:val="center"/>
          </w:tcPr>
          <w:p w:rsidR="00D87FC2" w:rsidRPr="00642267" w:rsidRDefault="00D87FC2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19.908</w:t>
            </w:r>
          </w:p>
        </w:tc>
        <w:tc>
          <w:tcPr>
            <w:tcW w:w="1241" w:type="dxa"/>
            <w:vAlign w:val="center"/>
          </w:tcPr>
          <w:p w:rsidR="00D87FC2" w:rsidRPr="00642267" w:rsidRDefault="00D87FC2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19.908</w:t>
            </w:r>
          </w:p>
        </w:tc>
      </w:tr>
      <w:tr w:rsidR="00D87FC2" w:rsidRPr="00642267" w:rsidTr="009F4165">
        <w:tc>
          <w:tcPr>
            <w:tcW w:w="664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612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Kapitalna ulaganja za domove za starije osobe</w:t>
            </w:r>
          </w:p>
        </w:tc>
        <w:tc>
          <w:tcPr>
            <w:tcW w:w="1273" w:type="dxa"/>
          </w:tcPr>
          <w:p w:rsidR="00D87FC2" w:rsidRPr="00642267" w:rsidRDefault="006F0A9B" w:rsidP="006F0A9B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="00D87F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177</w:t>
            </w:r>
          </w:p>
        </w:tc>
        <w:tc>
          <w:tcPr>
            <w:tcW w:w="1272" w:type="dxa"/>
          </w:tcPr>
          <w:p w:rsidR="00D87FC2" w:rsidRPr="00642267" w:rsidRDefault="00D87FC2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6F0A9B" w:rsidRPr="00642267">
              <w:rPr>
                <w:rFonts w:asciiTheme="minorHAnsi" w:hAnsiTheme="minorHAnsi" w:cstheme="minorHAnsi"/>
                <w:sz w:val="22"/>
                <w:szCs w:val="22"/>
              </w:rPr>
              <w:t>0.277</w:t>
            </w:r>
          </w:p>
        </w:tc>
        <w:tc>
          <w:tcPr>
            <w:tcW w:w="1241" w:type="dxa"/>
          </w:tcPr>
          <w:p w:rsidR="00D87FC2" w:rsidRPr="00642267" w:rsidRDefault="006F0A9B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40.277</w:t>
            </w:r>
          </w:p>
        </w:tc>
      </w:tr>
      <w:tr w:rsidR="00D87FC2" w:rsidRPr="00642267" w:rsidTr="009F4165">
        <w:tc>
          <w:tcPr>
            <w:tcW w:w="664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2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73" w:type="dxa"/>
          </w:tcPr>
          <w:p w:rsidR="00D87FC2" w:rsidRPr="00642267" w:rsidRDefault="00D87FC2" w:rsidP="006F0A9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1.4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78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638</w:t>
            </w:r>
          </w:p>
        </w:tc>
        <w:tc>
          <w:tcPr>
            <w:tcW w:w="1272" w:type="dxa"/>
          </w:tcPr>
          <w:p w:rsidR="00D87FC2" w:rsidRPr="00642267" w:rsidRDefault="00D87FC2" w:rsidP="006F0A9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1.4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56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738</w:t>
            </w:r>
          </w:p>
        </w:tc>
        <w:tc>
          <w:tcPr>
            <w:tcW w:w="1241" w:type="dxa"/>
          </w:tcPr>
          <w:p w:rsidR="00D87FC2" w:rsidRPr="00642267" w:rsidRDefault="00D87FC2" w:rsidP="006F0A9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456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738</w:t>
            </w:r>
          </w:p>
        </w:tc>
      </w:tr>
    </w:tbl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>: Nema odstupanja.</w:t>
      </w:r>
    </w:p>
    <w:p w:rsidR="007819AF" w:rsidRPr="00642267" w:rsidRDefault="007819AF" w:rsidP="007819AF">
      <w:pPr>
        <w:pStyle w:val="NoSpacing"/>
        <w:rPr>
          <w:rFonts w:asciiTheme="minorHAnsi" w:hAnsiTheme="minorHAnsi" w:cstheme="minorHAnsi"/>
        </w:rPr>
      </w:pPr>
    </w:p>
    <w:p w:rsidR="007819AF" w:rsidRPr="00642267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PROGRAM 1212 PROGRAM USTANOVA U ZDRAVSTVU IZNAD STANDARDA</w:t>
      </w:r>
    </w:p>
    <w:p w:rsidR="00D87FC2" w:rsidRPr="00642267" w:rsidRDefault="00D87FC2" w:rsidP="00D87FC2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>Programom ustanova zdravstva iznad standarda Dubrovačko-neretvanske županije sufinanciraju se mjere za prevenciju ovisnosti, HMP u turističkoj sezoni, zdravstvena zaštita na otocima, primarna zdravstvena zaštita u domovima zdravlja, helikopterska služba, odlazak liječnika specijalista u DZ izvan Dubrovnika, Sufinanciranje pripravnosti Zavoda za hitnu medicinu, poboljšanje standarda zdravstvenih ustanova, poticajne mjere za zdravstvene radnike</w:t>
      </w:r>
      <w:r w:rsidR="0058161A" w:rsidRPr="00642267">
        <w:rPr>
          <w:rFonts w:cstheme="minorHAnsi"/>
        </w:rPr>
        <w:t>, uređenje Specijalne bolnice za medicinsku rehabilitaciju Kalos</w:t>
      </w:r>
      <w:r w:rsidRPr="00642267">
        <w:rPr>
          <w:rFonts w:cstheme="minorHAnsi"/>
        </w:rPr>
        <w:t xml:space="preserve"> te vlastita sredstva zdravstvenih ustanova (pružanje usluga temeljem ugovora s HZZO-om, pružanje usluga izvan ugovora s HZZO-om i usavršavanje zdravstvenih radnika i podizanje kvalitete zdravstvene zaštite).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lastRenderedPageBreak/>
        <w:t xml:space="preserve">POSEBNI CILJ: </w:t>
      </w:r>
      <w:r w:rsidRPr="00642267">
        <w:rPr>
          <w:rFonts w:asciiTheme="minorHAnsi" w:hAnsiTheme="minorHAnsi" w:cstheme="minorHAnsi"/>
        </w:rPr>
        <w:t>Razvitak i rekonstrukcija zdravstvenog sustava na principima integrirane skrbi, uključujući i kontinuiranu i kroničnu zdravstvenu skrb u lokalnoj zajednici, kroz jačanje primarne zdravstvene zaštite.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 xml:space="preserve">: </w:t>
      </w:r>
    </w:p>
    <w:p w:rsidR="00EE4221" w:rsidRPr="00642267" w:rsidRDefault="00D87FC2" w:rsidP="00EE4221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cstheme="minorHAnsi"/>
        </w:rPr>
        <w:t>Zakon o zdravstvenoj zaštiti, Zakon o otocima, Zakon o ustanovama, Zakon o lokalnoj i područnoj (regionalnoj) samoupravi, Zakon o koncesijama, Zakon o suzbijanju zlouporabe droga</w:t>
      </w:r>
      <w:r w:rsidR="00D0148D" w:rsidRPr="00642267">
        <w:rPr>
          <w:rFonts w:cstheme="minorHAnsi"/>
        </w:rPr>
        <w:t>.</w:t>
      </w:r>
      <w:r w:rsidR="00EE4221" w:rsidRPr="00642267">
        <w:rPr>
          <w:rFonts w:cstheme="minorHAnsi"/>
        </w:rPr>
        <w:t xml:space="preserve"> </w:t>
      </w:r>
    </w:p>
    <w:p w:rsidR="00D87FC2" w:rsidRPr="00642267" w:rsidRDefault="00D87FC2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6D3D7B" w:rsidRPr="00642267" w:rsidRDefault="006D3D7B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cstheme="minorHAnsi"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D0148D" w:rsidRPr="00642267">
        <w:rPr>
          <w:rFonts w:cstheme="minorHAnsi"/>
        </w:rPr>
        <w:t xml:space="preserve"> Plan razvoja Dubrovačko-neretvanske županije do 2027., Provedbeni program Dubrovačko-neretvanske županije do 2025., Cilj 2.1. Unaprjeđenje kvalitete i dostupnosti društvenih usluga; Mjera 2.1.2. Unaprjeđenje zdravstvenih usluga i skrbi uključuje aktivnosti: Mjere za prevenciju ovisnosti i suzbijanja opojnih droga, Sufinanciranje hitne medicinske pomoći u turističkoj sezoni, Sufinanciranje zdravstvene zaštite na otocima i poslovne djelatnosti, Odlazak liječnika specijalista u domove zdravlja izvan Dubrovnika, Helikopterska služba, Poboljšanje standarda zdravstvenih ustanova, Poticanje mjera za zdravstvene radnike, Sufinanciranje pripravnosti Zavoda za hitnu medicinu, Sufinanciranje palijativne skrbi, Primarna zdravstvena zaštita u zakupu koncesionara, Uređenje Specijalne bolnice za medicinsku rehabilitaciju Kalos</w:t>
      </w:r>
      <w:r w:rsidR="001A368E" w:rsidRPr="00642267">
        <w:rPr>
          <w:rFonts w:cstheme="minorHAnsi"/>
        </w:rPr>
        <w:t>, Sufinanciranje nabavke uređaja za zdravstvene ustanove</w:t>
      </w:r>
      <w:r w:rsidR="00D0148D" w:rsidRPr="00642267">
        <w:rPr>
          <w:rFonts w:cstheme="minorHAnsi"/>
        </w:rPr>
        <w:t>.</w:t>
      </w:r>
    </w:p>
    <w:p w:rsidR="00D0148D" w:rsidRPr="00642267" w:rsidRDefault="00D0148D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D87FC2" w:rsidRPr="00642267" w:rsidRDefault="00D87FC2" w:rsidP="00D87FC2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</w:rPr>
        <w:t xml:space="preserve">Pružena zdravstvena skrb na otocima </w:t>
      </w:r>
      <w:r w:rsidR="00A76AE8" w:rsidRPr="00642267">
        <w:rPr>
          <w:rFonts w:cstheme="minorHAnsi"/>
        </w:rPr>
        <w:t xml:space="preserve">tijekom cijele godine </w:t>
      </w:r>
      <w:r w:rsidRPr="00642267">
        <w:rPr>
          <w:rFonts w:cstheme="minorHAnsi"/>
        </w:rPr>
        <w:t xml:space="preserve">i </w:t>
      </w:r>
      <w:r w:rsidR="00A76AE8" w:rsidRPr="00642267">
        <w:rPr>
          <w:rFonts w:cstheme="minorHAnsi"/>
        </w:rPr>
        <w:t xml:space="preserve">dodatno </w:t>
      </w:r>
      <w:r w:rsidRPr="00642267">
        <w:rPr>
          <w:rFonts w:cstheme="minorHAnsi"/>
        </w:rPr>
        <w:t>tijekom turističke sezone, provođenje i nadzor nad programom supstitucije, testiranje na prisustvo opojnih droga i savjetodavni rad s konzumentima droga.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"/>
        <w:gridCol w:w="4108"/>
        <w:gridCol w:w="1439"/>
        <w:gridCol w:w="1439"/>
        <w:gridCol w:w="1439"/>
      </w:tblGrid>
      <w:tr w:rsidR="00D87FC2" w:rsidRPr="00642267" w:rsidTr="00331A1F">
        <w:tc>
          <w:tcPr>
            <w:tcW w:w="637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108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7B4874" w:rsidRPr="00642267" w:rsidTr="00FC144C">
        <w:tc>
          <w:tcPr>
            <w:tcW w:w="637" w:type="dxa"/>
          </w:tcPr>
          <w:p w:rsidR="007B4874" w:rsidRPr="00642267" w:rsidRDefault="007B4874" w:rsidP="007B487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108" w:type="dxa"/>
          </w:tcPr>
          <w:p w:rsidR="007B4874" w:rsidRPr="00642267" w:rsidRDefault="007B4874" w:rsidP="007B487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Mjere za prevenciju ovisnosti i suzbijanja opojnih droga</w:t>
            </w:r>
          </w:p>
        </w:tc>
        <w:tc>
          <w:tcPr>
            <w:tcW w:w="1439" w:type="dxa"/>
            <w:vAlign w:val="center"/>
          </w:tcPr>
          <w:p w:rsidR="007B4874" w:rsidRPr="00642267" w:rsidRDefault="007B4874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25.881</w:t>
            </w:r>
          </w:p>
        </w:tc>
        <w:tc>
          <w:tcPr>
            <w:tcW w:w="1439" w:type="dxa"/>
            <w:vAlign w:val="center"/>
          </w:tcPr>
          <w:p w:rsidR="007B4874" w:rsidRPr="00642267" w:rsidRDefault="007B4874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25.881</w:t>
            </w:r>
          </w:p>
        </w:tc>
        <w:tc>
          <w:tcPr>
            <w:tcW w:w="1439" w:type="dxa"/>
            <w:vAlign w:val="center"/>
          </w:tcPr>
          <w:p w:rsidR="007B4874" w:rsidRPr="00642267" w:rsidRDefault="007B4874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25.881</w:t>
            </w:r>
          </w:p>
        </w:tc>
      </w:tr>
      <w:tr w:rsidR="004B6E7F" w:rsidRPr="00642267" w:rsidTr="00FC144C">
        <w:tc>
          <w:tcPr>
            <w:tcW w:w="637" w:type="dxa"/>
          </w:tcPr>
          <w:p w:rsidR="004B6E7F" w:rsidRPr="00642267" w:rsidRDefault="004B6E7F" w:rsidP="004B6E7F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108" w:type="dxa"/>
          </w:tcPr>
          <w:p w:rsidR="004B6E7F" w:rsidRPr="00642267" w:rsidRDefault="004B6E7F" w:rsidP="004B6E7F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Sufinanciranje hitne medicinske pomoći u turističkoj sezoni</w:t>
            </w:r>
          </w:p>
        </w:tc>
        <w:tc>
          <w:tcPr>
            <w:tcW w:w="1439" w:type="dxa"/>
            <w:vAlign w:val="center"/>
          </w:tcPr>
          <w:p w:rsidR="004B6E7F" w:rsidRPr="00642267" w:rsidRDefault="004B6E7F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  <w:tc>
          <w:tcPr>
            <w:tcW w:w="1439" w:type="dxa"/>
            <w:vAlign w:val="center"/>
          </w:tcPr>
          <w:p w:rsidR="004B6E7F" w:rsidRPr="00642267" w:rsidRDefault="004B6E7F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  <w:tc>
          <w:tcPr>
            <w:tcW w:w="1439" w:type="dxa"/>
            <w:vAlign w:val="center"/>
          </w:tcPr>
          <w:p w:rsidR="004B6E7F" w:rsidRPr="00642267" w:rsidRDefault="004B6E7F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</w:tr>
      <w:tr w:rsidR="007E4613" w:rsidRPr="00642267" w:rsidTr="00FC144C">
        <w:tc>
          <w:tcPr>
            <w:tcW w:w="637" w:type="dxa"/>
          </w:tcPr>
          <w:p w:rsidR="007E4613" w:rsidRPr="00642267" w:rsidRDefault="007E4613" w:rsidP="007E4613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108" w:type="dxa"/>
          </w:tcPr>
          <w:p w:rsidR="007E4613" w:rsidRPr="00642267" w:rsidRDefault="007E4613" w:rsidP="007E4613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Sufinanciranje zdravstvene zaštite na otocima</w:t>
            </w:r>
            <w:r w:rsidR="00F10B66" w:rsidRPr="00642267">
              <w:rPr>
                <w:rFonts w:asciiTheme="minorHAnsi" w:hAnsiTheme="minorHAnsi" w:cstheme="minorHAnsi"/>
                <w:sz w:val="22"/>
                <w:szCs w:val="22"/>
              </w:rPr>
              <w:t xml:space="preserve"> i poslovne djelatnosti</w:t>
            </w:r>
          </w:p>
        </w:tc>
        <w:tc>
          <w:tcPr>
            <w:tcW w:w="1439" w:type="dxa"/>
            <w:vAlign w:val="center"/>
          </w:tcPr>
          <w:p w:rsidR="007E4613" w:rsidRPr="00642267" w:rsidRDefault="007E4613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FC144C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573</w:t>
            </w:r>
          </w:p>
        </w:tc>
        <w:tc>
          <w:tcPr>
            <w:tcW w:w="1439" w:type="dxa"/>
            <w:vAlign w:val="center"/>
          </w:tcPr>
          <w:p w:rsidR="007E4613" w:rsidRPr="00642267" w:rsidRDefault="007E4613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FC144C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573</w:t>
            </w:r>
          </w:p>
        </w:tc>
        <w:tc>
          <w:tcPr>
            <w:tcW w:w="1439" w:type="dxa"/>
            <w:vAlign w:val="center"/>
          </w:tcPr>
          <w:p w:rsidR="007E4613" w:rsidRPr="00642267" w:rsidRDefault="007E4613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FC144C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573</w:t>
            </w:r>
          </w:p>
        </w:tc>
      </w:tr>
      <w:tr w:rsidR="007E4613" w:rsidRPr="00642267" w:rsidTr="00FC144C">
        <w:tc>
          <w:tcPr>
            <w:tcW w:w="637" w:type="dxa"/>
          </w:tcPr>
          <w:p w:rsidR="007E4613" w:rsidRPr="00642267" w:rsidRDefault="000A629E" w:rsidP="007E4613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E4613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08" w:type="dxa"/>
          </w:tcPr>
          <w:p w:rsidR="007E4613" w:rsidRPr="00642267" w:rsidRDefault="007E4613" w:rsidP="007E4613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Odlazak liječnika specijalista u domove zdravlja izvan Dubrovnika</w:t>
            </w:r>
          </w:p>
        </w:tc>
        <w:tc>
          <w:tcPr>
            <w:tcW w:w="1439" w:type="dxa"/>
            <w:vAlign w:val="center"/>
          </w:tcPr>
          <w:p w:rsidR="007E4613" w:rsidRPr="00642267" w:rsidRDefault="002C0D9F" w:rsidP="002C0D9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439" w:type="dxa"/>
            <w:vAlign w:val="center"/>
          </w:tcPr>
          <w:p w:rsidR="007E4613" w:rsidRPr="00642267" w:rsidRDefault="002C0D9F" w:rsidP="00FC144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10.618</w:t>
            </w:r>
          </w:p>
        </w:tc>
        <w:tc>
          <w:tcPr>
            <w:tcW w:w="1439" w:type="dxa"/>
            <w:vAlign w:val="center"/>
          </w:tcPr>
          <w:p w:rsidR="007E4613" w:rsidRPr="00642267" w:rsidRDefault="002C0D9F" w:rsidP="00FC144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10.618</w:t>
            </w:r>
          </w:p>
        </w:tc>
      </w:tr>
      <w:tr w:rsidR="002C0D9F" w:rsidRPr="00642267" w:rsidTr="002C0D9F">
        <w:tc>
          <w:tcPr>
            <w:tcW w:w="637" w:type="dxa"/>
          </w:tcPr>
          <w:p w:rsidR="002C0D9F" w:rsidRPr="00642267" w:rsidRDefault="000A629E" w:rsidP="002C0D9F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2C0D9F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08" w:type="dxa"/>
          </w:tcPr>
          <w:p w:rsidR="002C0D9F" w:rsidRPr="00642267" w:rsidRDefault="002C0D9F" w:rsidP="002C0D9F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Helikopterska služba</w:t>
            </w:r>
          </w:p>
        </w:tc>
        <w:tc>
          <w:tcPr>
            <w:tcW w:w="1439" w:type="dxa"/>
            <w:vAlign w:val="center"/>
          </w:tcPr>
          <w:p w:rsidR="002C0D9F" w:rsidRPr="00642267" w:rsidRDefault="002C0D9F" w:rsidP="002C0D9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48.577</w:t>
            </w:r>
          </w:p>
        </w:tc>
        <w:tc>
          <w:tcPr>
            <w:tcW w:w="1439" w:type="dxa"/>
          </w:tcPr>
          <w:p w:rsidR="002C0D9F" w:rsidRPr="00642267" w:rsidRDefault="002C0D9F" w:rsidP="002C0D9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48.577</w:t>
            </w:r>
          </w:p>
        </w:tc>
        <w:tc>
          <w:tcPr>
            <w:tcW w:w="1439" w:type="dxa"/>
          </w:tcPr>
          <w:p w:rsidR="002C0D9F" w:rsidRPr="00642267" w:rsidRDefault="002C0D9F" w:rsidP="002C0D9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48.577</w:t>
            </w:r>
          </w:p>
        </w:tc>
      </w:tr>
      <w:tr w:rsidR="00A76AE8" w:rsidRPr="00642267" w:rsidTr="002F41C2">
        <w:tc>
          <w:tcPr>
            <w:tcW w:w="637" w:type="dxa"/>
          </w:tcPr>
          <w:p w:rsidR="00A76AE8" w:rsidRPr="00642267" w:rsidRDefault="000A629E" w:rsidP="002F41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A76AE8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08" w:type="dxa"/>
          </w:tcPr>
          <w:p w:rsidR="00A76AE8" w:rsidRPr="00642267" w:rsidRDefault="00A76AE8" w:rsidP="00EA0C84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Poboljšanje standarda zdravstvenih ustanova</w:t>
            </w:r>
          </w:p>
        </w:tc>
        <w:tc>
          <w:tcPr>
            <w:tcW w:w="1439" w:type="dxa"/>
            <w:vAlign w:val="center"/>
          </w:tcPr>
          <w:p w:rsidR="00A76AE8" w:rsidRPr="00642267" w:rsidRDefault="00EA0C84" w:rsidP="002F41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172.540</w:t>
            </w:r>
          </w:p>
        </w:tc>
        <w:tc>
          <w:tcPr>
            <w:tcW w:w="1439" w:type="dxa"/>
            <w:vAlign w:val="center"/>
          </w:tcPr>
          <w:p w:rsidR="00A76AE8" w:rsidRPr="00642267" w:rsidRDefault="00EA0C84" w:rsidP="00EA0C8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172.540</w:t>
            </w:r>
          </w:p>
        </w:tc>
        <w:tc>
          <w:tcPr>
            <w:tcW w:w="1439" w:type="dxa"/>
            <w:vAlign w:val="center"/>
          </w:tcPr>
          <w:p w:rsidR="00A76AE8" w:rsidRPr="00642267" w:rsidRDefault="00EA0C84" w:rsidP="002F41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172.540</w:t>
            </w:r>
          </w:p>
        </w:tc>
      </w:tr>
      <w:tr w:rsidR="00D87FC2" w:rsidRPr="00642267" w:rsidTr="00331A1F">
        <w:tc>
          <w:tcPr>
            <w:tcW w:w="637" w:type="dxa"/>
          </w:tcPr>
          <w:p w:rsidR="00D87FC2" w:rsidRPr="00642267" w:rsidRDefault="000A629E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D87F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08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Poticanje mjera za zdravstvene radnike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238.902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238.902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238.902</w:t>
            </w:r>
          </w:p>
        </w:tc>
      </w:tr>
      <w:tr w:rsidR="00D87FC2" w:rsidRPr="00642267" w:rsidTr="00331A1F">
        <w:tc>
          <w:tcPr>
            <w:tcW w:w="637" w:type="dxa"/>
          </w:tcPr>
          <w:p w:rsidR="00D87FC2" w:rsidRPr="00642267" w:rsidRDefault="000A629E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D87F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08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Sufinanciranje pripravnosti Zavoda za hitnu medicinu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64.371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64.371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64.371</w:t>
            </w:r>
          </w:p>
        </w:tc>
      </w:tr>
      <w:tr w:rsidR="000B6A97" w:rsidRPr="00642267" w:rsidTr="00331A1F">
        <w:tc>
          <w:tcPr>
            <w:tcW w:w="637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108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Sufinanciranje palijativne skrbi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18.847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18.847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18.847</w:t>
            </w:r>
          </w:p>
        </w:tc>
      </w:tr>
      <w:tr w:rsidR="000B6A97" w:rsidRPr="00642267" w:rsidTr="00331A1F">
        <w:tc>
          <w:tcPr>
            <w:tcW w:w="637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108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Primarna zdravstvena zaštita u zakupu koncesionara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1.991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1.991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1.991</w:t>
            </w:r>
          </w:p>
        </w:tc>
      </w:tr>
      <w:tr w:rsidR="000B6A97" w:rsidRPr="00642267" w:rsidTr="00331A1F">
        <w:tc>
          <w:tcPr>
            <w:tcW w:w="637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 xml:space="preserve">11. </w:t>
            </w:r>
          </w:p>
        </w:tc>
        <w:tc>
          <w:tcPr>
            <w:tcW w:w="4108" w:type="dxa"/>
          </w:tcPr>
          <w:p w:rsidR="000B6A97" w:rsidRPr="00642267" w:rsidRDefault="000B6A97" w:rsidP="001A368E">
            <w:pPr>
              <w:pStyle w:val="NoSpacing"/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Uređenje Specijalne bolnice za medicinsku rehabilitaciju Kalos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32.351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32.351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32.351</w:t>
            </w:r>
          </w:p>
        </w:tc>
      </w:tr>
      <w:tr w:rsidR="00643FF0" w:rsidRPr="00642267" w:rsidTr="00331A1F">
        <w:tc>
          <w:tcPr>
            <w:tcW w:w="637" w:type="dxa"/>
          </w:tcPr>
          <w:p w:rsidR="00643FF0" w:rsidRPr="00642267" w:rsidRDefault="001A368E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108" w:type="dxa"/>
          </w:tcPr>
          <w:p w:rsidR="00643FF0" w:rsidRPr="00642267" w:rsidRDefault="00643FF0" w:rsidP="000B6A97">
            <w:pPr>
              <w:pStyle w:val="NoSpacing"/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Sufinanciranje nabavke uređaja za zdravstvene ustanove</w:t>
            </w:r>
          </w:p>
        </w:tc>
        <w:tc>
          <w:tcPr>
            <w:tcW w:w="1439" w:type="dxa"/>
            <w:vAlign w:val="center"/>
          </w:tcPr>
          <w:p w:rsidR="00643FF0" w:rsidRPr="00642267" w:rsidRDefault="00643FF0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  <w:tc>
          <w:tcPr>
            <w:tcW w:w="1439" w:type="dxa"/>
            <w:vAlign w:val="center"/>
          </w:tcPr>
          <w:p w:rsidR="00643FF0" w:rsidRPr="00642267" w:rsidRDefault="00643FF0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  <w:tc>
          <w:tcPr>
            <w:tcW w:w="1439" w:type="dxa"/>
            <w:vAlign w:val="center"/>
          </w:tcPr>
          <w:p w:rsidR="00643FF0" w:rsidRPr="00642267" w:rsidRDefault="00643FF0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</w:tr>
      <w:tr w:rsidR="001A368E" w:rsidRPr="00642267" w:rsidTr="006D3D7B">
        <w:tc>
          <w:tcPr>
            <w:tcW w:w="637" w:type="dxa"/>
          </w:tcPr>
          <w:p w:rsidR="001A368E" w:rsidRPr="00642267" w:rsidRDefault="001A368E" w:rsidP="001A368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08" w:type="dxa"/>
          </w:tcPr>
          <w:p w:rsidR="001A368E" w:rsidRPr="00642267" w:rsidRDefault="001A368E" w:rsidP="001A368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439" w:type="dxa"/>
          </w:tcPr>
          <w:p w:rsidR="001A368E" w:rsidRPr="00642267" w:rsidRDefault="001A368E" w:rsidP="001A368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979.731</w:t>
            </w:r>
          </w:p>
        </w:tc>
        <w:tc>
          <w:tcPr>
            <w:tcW w:w="1439" w:type="dxa"/>
          </w:tcPr>
          <w:p w:rsidR="001A368E" w:rsidRPr="00642267" w:rsidRDefault="001A368E" w:rsidP="001A368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979.731</w:t>
            </w:r>
          </w:p>
        </w:tc>
        <w:tc>
          <w:tcPr>
            <w:tcW w:w="1439" w:type="dxa"/>
          </w:tcPr>
          <w:p w:rsidR="001A368E" w:rsidRPr="00642267" w:rsidRDefault="001A368E" w:rsidP="001A368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979.731</w:t>
            </w:r>
          </w:p>
        </w:tc>
      </w:tr>
    </w:tbl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7E4613" w:rsidRPr="00642267" w:rsidRDefault="000A629E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A</w:t>
      </w:r>
      <w:r w:rsidR="007E4613" w:rsidRPr="00642267">
        <w:rPr>
          <w:rFonts w:asciiTheme="minorHAnsi" w:hAnsiTheme="minorHAnsi" w:cstheme="minorHAnsi"/>
        </w:rPr>
        <w:t>ktivnosti su u skladu s projekcijama iz prethodnog razdoblja.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Cs/>
        </w:rPr>
      </w:pPr>
    </w:p>
    <w:p w:rsidR="00D87FC2" w:rsidRPr="00642267" w:rsidRDefault="00D87FC2" w:rsidP="00D87FC2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highlight w:val="yellow"/>
        </w:rPr>
      </w:pPr>
      <w:r w:rsidRPr="00642267">
        <w:rPr>
          <w:rFonts w:eastAsia="Calibri" w:cstheme="minorHAnsi"/>
          <w:b/>
          <w:bCs/>
          <w:spacing w:val="1"/>
        </w:rPr>
        <w:t>PROGRAM 1213 PROGRAM USTANOVA U SOCIJALNOJ SKRBI IZNAD STANDARDA</w:t>
      </w:r>
    </w:p>
    <w:p w:rsidR="00F03803" w:rsidRPr="00642267" w:rsidRDefault="00A76AE8" w:rsidP="00D87FC2">
      <w:pPr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Times New Roman" w:cstheme="minorHAnsi"/>
          <w:b/>
          <w:bCs/>
          <w:color w:val="000000"/>
          <w:lang w:eastAsia="hr-HR"/>
        </w:rPr>
        <w:t>OPĆI CILJ:</w:t>
      </w:r>
      <w:r w:rsidRPr="00642267">
        <w:rPr>
          <w:rFonts w:eastAsia="Times New Roman" w:cstheme="minorHAnsi"/>
          <w:bCs/>
          <w:color w:val="000000"/>
          <w:lang w:eastAsia="hr-HR"/>
        </w:rPr>
        <w:t xml:space="preserve"> </w:t>
      </w:r>
      <w:r w:rsidR="00D87FC2" w:rsidRPr="00642267">
        <w:rPr>
          <w:rFonts w:eastAsia="Times New Roman" w:cstheme="minorHAnsi"/>
          <w:bCs/>
          <w:color w:val="000000"/>
          <w:lang w:eastAsia="hr-HR"/>
        </w:rPr>
        <w:t>Programom ustanova socijalne skrbi iznad standarda Dubrovačko-neretvanske županije sufinancira se prigodna potpora ustanovama socijalne skrbi i osigurava se suvremeni pristup u rješavanju problema organizacije i provedbe zdravstvenih, socijalnih i sličnih potrebitih usluga za starije i nemoćne osobe.</w:t>
      </w:r>
      <w:r w:rsidR="00D87FC2" w:rsidRPr="00642267">
        <w:rPr>
          <w:rFonts w:eastAsia="Calibri" w:cstheme="minorHAnsi"/>
          <w:spacing w:val="1"/>
        </w:rPr>
        <w:t xml:space="preserve"> </w:t>
      </w:r>
    </w:p>
    <w:p w:rsidR="00C078AC" w:rsidRPr="00642267" w:rsidRDefault="00C078AC" w:rsidP="00D87FC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hr-HR"/>
        </w:rPr>
      </w:pPr>
    </w:p>
    <w:p w:rsidR="00D87FC2" w:rsidRPr="00642267" w:rsidRDefault="00A76AE8" w:rsidP="00D87FC2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hr-HR"/>
        </w:rPr>
      </w:pPr>
      <w:r w:rsidRPr="00642267">
        <w:rPr>
          <w:rFonts w:eastAsia="Calibri" w:cstheme="minorHAnsi"/>
          <w:b/>
          <w:spacing w:val="1"/>
        </w:rPr>
        <w:t>POSEBNI CILJ:</w:t>
      </w:r>
      <w:r w:rsidRPr="00642267">
        <w:rPr>
          <w:rFonts w:eastAsia="Calibri" w:cstheme="minorHAnsi"/>
          <w:spacing w:val="1"/>
        </w:rPr>
        <w:t xml:space="preserve"> </w:t>
      </w:r>
      <w:r w:rsidR="00D87FC2" w:rsidRPr="00642267">
        <w:rPr>
          <w:rFonts w:eastAsia="Calibri" w:cstheme="minorHAnsi"/>
          <w:spacing w:val="1"/>
        </w:rPr>
        <w:t>Suvremeni pristup u rješavanju problema organizacije i provedbe zdravstvenih, socijalnih i sličnih potrebitih usluga za starije i nemoćne osobe.</w:t>
      </w:r>
    </w:p>
    <w:p w:rsidR="00A76AE8" w:rsidRPr="00642267" w:rsidRDefault="00A76AE8" w:rsidP="00A76AE8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</w:p>
    <w:p w:rsidR="00A76AE8" w:rsidRPr="00642267" w:rsidRDefault="00A76AE8" w:rsidP="007001F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cstheme="minorHAnsi"/>
          <w:b/>
        </w:rPr>
        <w:t>ZAKONSKE I DRUGE PODLOGE NA KOJIMA SE PROGRAM ZASNIVA</w:t>
      </w:r>
      <w:r w:rsidRPr="00642267">
        <w:rPr>
          <w:rFonts w:cstheme="minorHAnsi"/>
        </w:rPr>
        <w:t xml:space="preserve">: </w:t>
      </w:r>
      <w:r w:rsidRPr="00642267">
        <w:rPr>
          <w:rFonts w:cstheme="minorHAnsi"/>
          <w:bCs/>
          <w:color w:val="000000"/>
          <w:lang w:eastAsia="hr-HR"/>
        </w:rPr>
        <w:t>Zakon o socijalnoj skrbi,</w:t>
      </w:r>
      <w:r w:rsidR="008C71FC" w:rsidRPr="00642267">
        <w:rPr>
          <w:rFonts w:cstheme="minorHAnsi"/>
        </w:rPr>
        <w:t xml:space="preserve"> Zakon o udrugama, </w:t>
      </w:r>
      <w:r w:rsidRPr="00642267">
        <w:rPr>
          <w:rFonts w:cstheme="minorHAnsi"/>
          <w:bCs/>
          <w:color w:val="000000"/>
          <w:lang w:eastAsia="hr-HR"/>
        </w:rPr>
        <w:t>Strategija socijalne skrbi za starije osobe u Republici Hrvatskoj</w:t>
      </w:r>
      <w:r w:rsidR="007C2099" w:rsidRPr="00642267">
        <w:rPr>
          <w:rFonts w:cstheme="minorHAnsi"/>
          <w:bCs/>
          <w:color w:val="000000"/>
          <w:lang w:eastAsia="hr-HR"/>
        </w:rPr>
        <w:t>.</w:t>
      </w:r>
      <w:r w:rsidR="00317ACC" w:rsidRPr="00642267">
        <w:rPr>
          <w:rFonts w:cstheme="minorHAnsi"/>
          <w:bCs/>
          <w:color w:val="000000"/>
          <w:lang w:eastAsia="hr-HR"/>
        </w:rPr>
        <w:t xml:space="preserve"> </w:t>
      </w:r>
    </w:p>
    <w:p w:rsidR="00A76AE8" w:rsidRPr="00642267" w:rsidRDefault="00A76AE8" w:rsidP="00A76AE8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6D3D7B" w:rsidRPr="00642267" w:rsidRDefault="006D3D7B" w:rsidP="007C2099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7C2099" w:rsidRPr="00642267">
        <w:rPr>
          <w:rFonts w:cstheme="minorHAnsi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 provodi se kroz aktivnosti: Prigodne potpore ustanovama socijalne skrbi, </w:t>
      </w:r>
      <w:r w:rsidR="003D3ACF" w:rsidRPr="00642267">
        <w:rPr>
          <w:rFonts w:cstheme="minorHAnsi"/>
        </w:rPr>
        <w:t xml:space="preserve">Obveze po sudskim sporovima,  Poboljšanje i održavanje socijalnih ustanova, </w:t>
      </w:r>
      <w:r w:rsidR="007C2099" w:rsidRPr="00642267">
        <w:rPr>
          <w:rFonts w:cstheme="minorHAnsi"/>
        </w:rPr>
        <w:t>Pružanje usluge smještaja, usluge izvaninstitucionalne skrbi.</w:t>
      </w:r>
    </w:p>
    <w:p w:rsidR="006D3D7B" w:rsidRPr="00642267" w:rsidRDefault="006D3D7B" w:rsidP="00A76AE8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A76AE8" w:rsidRPr="00642267" w:rsidRDefault="00A76AE8" w:rsidP="00A76AE8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A76AE8" w:rsidRPr="00642267" w:rsidRDefault="00A76AE8" w:rsidP="00D87FC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hr-HR"/>
        </w:rPr>
      </w:pPr>
    </w:p>
    <w:p w:rsidR="00A76AE8" w:rsidRPr="00642267" w:rsidRDefault="00A76AE8" w:rsidP="00A76AE8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A76AE8" w:rsidRPr="00642267" w:rsidRDefault="00D87FC2" w:rsidP="00A76AE8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cstheme="minorHAnsi"/>
          <w:bCs/>
          <w:color w:val="000000"/>
          <w:lang w:eastAsia="hr-HR"/>
        </w:rPr>
        <w:t>Sredstva po ovom programu doznačuju se ustanovama u zadnje</w:t>
      </w:r>
      <w:r w:rsidR="00A76AE8" w:rsidRPr="00642267">
        <w:rPr>
          <w:rFonts w:cstheme="minorHAnsi"/>
          <w:bCs/>
          <w:color w:val="000000"/>
          <w:lang w:eastAsia="hr-HR"/>
        </w:rPr>
        <w:t xml:space="preserve">m tromjesečju svake godine. </w:t>
      </w:r>
      <w:r w:rsidR="00A76AE8" w:rsidRPr="00642267">
        <w:rPr>
          <w:rFonts w:asciiTheme="minorHAnsi" w:hAnsiTheme="minorHAnsi" w:cstheme="minorHAnsi"/>
        </w:rPr>
        <w:t>Korisnici dobivaju mogućnost življenja u poznatom okruženju vlastitog doma, osjećaj sigurnosti i povećanu kvalitetu življenja.</w:t>
      </w:r>
    </w:p>
    <w:p w:rsidR="0058161A" w:rsidRPr="00642267" w:rsidRDefault="0058161A" w:rsidP="00A76AE8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6"/>
        <w:gridCol w:w="4644"/>
        <w:gridCol w:w="1267"/>
        <w:gridCol w:w="1258"/>
        <w:gridCol w:w="1227"/>
      </w:tblGrid>
      <w:tr w:rsidR="00D87FC2" w:rsidRPr="00642267" w:rsidTr="009F4165">
        <w:tc>
          <w:tcPr>
            <w:tcW w:w="666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67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27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3D3ACF" w:rsidRPr="00642267" w:rsidTr="009A4DB9">
        <w:tc>
          <w:tcPr>
            <w:tcW w:w="666" w:type="dxa"/>
          </w:tcPr>
          <w:p w:rsidR="003D3ACF" w:rsidRPr="00642267" w:rsidRDefault="003D3ACF" w:rsidP="003D3ACF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44" w:type="dxa"/>
          </w:tcPr>
          <w:p w:rsidR="003D3ACF" w:rsidRPr="00642267" w:rsidRDefault="003D3ACF" w:rsidP="003D3ACF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Prigodne potpore ustanovama socijalne skrbi</w:t>
            </w:r>
          </w:p>
        </w:tc>
        <w:tc>
          <w:tcPr>
            <w:tcW w:w="1267" w:type="dxa"/>
            <w:vAlign w:val="center"/>
          </w:tcPr>
          <w:p w:rsidR="003D3ACF" w:rsidRPr="00642267" w:rsidRDefault="003D3ACF" w:rsidP="003D3ACF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14.598</w:t>
            </w:r>
          </w:p>
        </w:tc>
        <w:tc>
          <w:tcPr>
            <w:tcW w:w="1258" w:type="dxa"/>
            <w:vAlign w:val="center"/>
          </w:tcPr>
          <w:p w:rsidR="003D3ACF" w:rsidRPr="00642267" w:rsidRDefault="003D3ACF" w:rsidP="003D3ACF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14.598</w:t>
            </w:r>
          </w:p>
        </w:tc>
        <w:tc>
          <w:tcPr>
            <w:tcW w:w="1227" w:type="dxa"/>
            <w:vAlign w:val="center"/>
          </w:tcPr>
          <w:p w:rsidR="003D3ACF" w:rsidRPr="00642267" w:rsidRDefault="003D3ACF" w:rsidP="003D3ACF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14.598</w:t>
            </w:r>
          </w:p>
        </w:tc>
      </w:tr>
      <w:tr w:rsidR="00FE1823" w:rsidRPr="00642267" w:rsidTr="00FC144C">
        <w:tc>
          <w:tcPr>
            <w:tcW w:w="666" w:type="dxa"/>
          </w:tcPr>
          <w:p w:rsidR="00FE1823" w:rsidRPr="00642267" w:rsidRDefault="00FE1823" w:rsidP="002B2526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44" w:type="dxa"/>
          </w:tcPr>
          <w:p w:rsidR="00FE1823" w:rsidRPr="00642267" w:rsidRDefault="00FE1823" w:rsidP="002B2526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Obveze po sudskim sporovima</w:t>
            </w:r>
          </w:p>
        </w:tc>
        <w:tc>
          <w:tcPr>
            <w:tcW w:w="1267" w:type="dxa"/>
            <w:vAlign w:val="center"/>
          </w:tcPr>
          <w:p w:rsidR="00FE1823" w:rsidRPr="00642267" w:rsidRDefault="00FE1823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3.318</w:t>
            </w:r>
          </w:p>
        </w:tc>
        <w:tc>
          <w:tcPr>
            <w:tcW w:w="1258" w:type="dxa"/>
            <w:vAlign w:val="center"/>
          </w:tcPr>
          <w:p w:rsidR="00FE1823" w:rsidRPr="00642267" w:rsidRDefault="00FE1823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27" w:type="dxa"/>
            <w:vAlign w:val="center"/>
          </w:tcPr>
          <w:p w:rsidR="00FE1823" w:rsidRPr="00642267" w:rsidRDefault="00FE1823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3607C" w:rsidRPr="00642267" w:rsidTr="00FC144C">
        <w:tc>
          <w:tcPr>
            <w:tcW w:w="666" w:type="dxa"/>
          </w:tcPr>
          <w:p w:rsidR="0023607C" w:rsidRPr="00642267" w:rsidRDefault="0023607C" w:rsidP="002B2526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4644" w:type="dxa"/>
          </w:tcPr>
          <w:p w:rsidR="0023607C" w:rsidRPr="00642267" w:rsidRDefault="0023607C" w:rsidP="002B2526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Poboljšanje i održavanje socijalnih ustanova</w:t>
            </w:r>
          </w:p>
        </w:tc>
        <w:tc>
          <w:tcPr>
            <w:tcW w:w="1267" w:type="dxa"/>
            <w:vAlign w:val="center"/>
          </w:tcPr>
          <w:p w:rsidR="0023607C" w:rsidRPr="00642267" w:rsidRDefault="0023607C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13.272</w:t>
            </w:r>
          </w:p>
        </w:tc>
        <w:tc>
          <w:tcPr>
            <w:tcW w:w="1258" w:type="dxa"/>
            <w:vAlign w:val="center"/>
          </w:tcPr>
          <w:p w:rsidR="0023607C" w:rsidRPr="00642267" w:rsidRDefault="0023607C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27" w:type="dxa"/>
            <w:vAlign w:val="center"/>
          </w:tcPr>
          <w:p w:rsidR="0023607C" w:rsidRPr="00642267" w:rsidRDefault="0023607C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D87FC2" w:rsidRPr="00642267" w:rsidTr="00FC144C">
        <w:tc>
          <w:tcPr>
            <w:tcW w:w="666" w:type="dxa"/>
          </w:tcPr>
          <w:p w:rsidR="00D87FC2" w:rsidRPr="00642267" w:rsidRDefault="003D3ACF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D87F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644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Pružanje usluge smještaja, usluge izvaninstitucionalne skrbi</w:t>
            </w:r>
          </w:p>
        </w:tc>
        <w:tc>
          <w:tcPr>
            <w:tcW w:w="1267" w:type="dxa"/>
            <w:vAlign w:val="center"/>
          </w:tcPr>
          <w:p w:rsidR="00D87FC2" w:rsidRPr="00642267" w:rsidRDefault="00D87FC2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2B2526" w:rsidRPr="00642267">
              <w:rPr>
                <w:rFonts w:asciiTheme="minorHAnsi" w:hAnsiTheme="minorHAnsi" w:cstheme="minorHAnsi"/>
                <w:sz w:val="22"/>
                <w:szCs w:val="22"/>
              </w:rPr>
              <w:t>358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B2526" w:rsidRPr="00642267">
              <w:rPr>
                <w:rFonts w:asciiTheme="minorHAnsi" w:hAnsiTheme="minorHAnsi" w:cstheme="minorHAnsi"/>
                <w:sz w:val="22"/>
                <w:szCs w:val="22"/>
              </w:rPr>
              <w:t>407</w:t>
            </w:r>
          </w:p>
        </w:tc>
        <w:tc>
          <w:tcPr>
            <w:tcW w:w="1258" w:type="dxa"/>
            <w:vAlign w:val="center"/>
          </w:tcPr>
          <w:p w:rsidR="00D87FC2" w:rsidRPr="00642267" w:rsidRDefault="00D87FC2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2B2526" w:rsidRPr="00642267">
              <w:rPr>
                <w:rFonts w:asciiTheme="minorHAnsi" w:hAnsiTheme="minorHAnsi" w:cstheme="minorHAnsi"/>
                <w:sz w:val="22"/>
                <w:szCs w:val="22"/>
              </w:rPr>
              <w:t>238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B2526" w:rsidRPr="00642267">
              <w:rPr>
                <w:rFonts w:asciiTheme="minorHAnsi" w:hAnsiTheme="minorHAnsi" w:cstheme="minorHAnsi"/>
                <w:sz w:val="22"/>
                <w:szCs w:val="22"/>
              </w:rPr>
              <w:t>956</w:t>
            </w:r>
          </w:p>
        </w:tc>
        <w:tc>
          <w:tcPr>
            <w:tcW w:w="1227" w:type="dxa"/>
            <w:vAlign w:val="center"/>
          </w:tcPr>
          <w:p w:rsidR="00D87FC2" w:rsidRPr="00642267" w:rsidRDefault="002B2526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2.238.956</w:t>
            </w:r>
          </w:p>
        </w:tc>
      </w:tr>
      <w:tr w:rsidR="003D3ACF" w:rsidRPr="00642267" w:rsidTr="009A4DB9">
        <w:tc>
          <w:tcPr>
            <w:tcW w:w="666" w:type="dxa"/>
          </w:tcPr>
          <w:p w:rsidR="003D3ACF" w:rsidRPr="00642267" w:rsidRDefault="003D3ACF" w:rsidP="003D3ACF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44" w:type="dxa"/>
          </w:tcPr>
          <w:p w:rsidR="003D3ACF" w:rsidRPr="00642267" w:rsidRDefault="003D3ACF" w:rsidP="003D3ACF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67" w:type="dxa"/>
            <w:vAlign w:val="center"/>
          </w:tcPr>
          <w:p w:rsidR="003D3ACF" w:rsidRPr="00642267" w:rsidRDefault="003D3ACF" w:rsidP="003D3AC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2.389.595</w:t>
            </w:r>
          </w:p>
        </w:tc>
        <w:tc>
          <w:tcPr>
            <w:tcW w:w="1258" w:type="dxa"/>
            <w:vAlign w:val="center"/>
          </w:tcPr>
          <w:p w:rsidR="003D3ACF" w:rsidRPr="00642267" w:rsidRDefault="003D3ACF" w:rsidP="003D3AC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2.253.554</w:t>
            </w:r>
          </w:p>
        </w:tc>
        <w:tc>
          <w:tcPr>
            <w:tcW w:w="1227" w:type="dxa"/>
            <w:vAlign w:val="center"/>
          </w:tcPr>
          <w:p w:rsidR="003D3ACF" w:rsidRPr="00642267" w:rsidRDefault="003D3ACF" w:rsidP="003D3AC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2.253.554</w:t>
            </w:r>
          </w:p>
        </w:tc>
      </w:tr>
    </w:tbl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D87FC2" w:rsidRPr="00642267" w:rsidRDefault="00C501B3" w:rsidP="00C501B3">
      <w:pPr>
        <w:pStyle w:val="NoSpacing"/>
        <w:shd w:val="clear" w:color="auto" w:fill="FFFFFF"/>
        <w:jc w:val="both"/>
        <w:rPr>
          <w:rFonts w:cstheme="minorHAnsi"/>
        </w:rPr>
      </w:pPr>
      <w:r w:rsidRPr="00642267">
        <w:rPr>
          <w:rFonts w:asciiTheme="minorHAnsi" w:hAnsiTheme="minorHAnsi" w:cstheme="minorHAnsi"/>
        </w:rPr>
        <w:t>U</w:t>
      </w:r>
      <w:r w:rsidR="00D87FC2" w:rsidRPr="00642267">
        <w:rPr>
          <w:rFonts w:asciiTheme="minorHAnsi" w:hAnsiTheme="minorHAnsi" w:cstheme="minorHAnsi"/>
        </w:rPr>
        <w:t>vrštena kapitalna investicija rekonstrukcije Doma za starije i nemoćne osobe Domus Christi koja se dijelom financira iz sredstava donacija, odnosno prenesenog viška</w:t>
      </w:r>
      <w:r w:rsidRPr="00642267">
        <w:rPr>
          <w:rFonts w:asciiTheme="minorHAnsi" w:hAnsiTheme="minorHAnsi" w:cstheme="minorHAnsi"/>
        </w:rPr>
        <w:t xml:space="preserve">. </w:t>
      </w:r>
    </w:p>
    <w:p w:rsidR="000A629E" w:rsidRPr="00642267" w:rsidRDefault="000A629E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0A629E" w:rsidRPr="00642267" w:rsidRDefault="000A629E" w:rsidP="000A629E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FINANCIRANJE IZ VLASTITIH I NAMJENSKIH PRIHODA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Cilj:</w:t>
      </w:r>
      <w:r w:rsidRPr="00642267">
        <w:rPr>
          <w:rFonts w:asciiTheme="minorHAnsi" w:hAnsiTheme="minorHAnsi" w:cstheme="minorHAnsi"/>
        </w:rPr>
        <w:t xml:space="preserve"> Praćenje proračunskih korisnika u ostvarivanju i korištenju vlastitih i namjenskih prihoda i primitaka.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Nositelj aktivnosti:</w:t>
      </w:r>
      <w:r w:rsidRPr="00642267">
        <w:rPr>
          <w:rFonts w:asciiTheme="minorHAnsi" w:hAnsiTheme="minorHAnsi" w:cstheme="minorHAnsi"/>
        </w:rPr>
        <w:t xml:space="preserve"> Upravni odjel za zdravstvo, obitelj i branitelje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Zakonska osnova:</w:t>
      </w:r>
      <w:r w:rsidRPr="00642267">
        <w:rPr>
          <w:rFonts w:asciiTheme="minorHAnsi" w:hAnsiTheme="minorHAnsi" w:cstheme="minorHAnsi"/>
        </w:rPr>
        <w:t xml:space="preserve"> Zakon o Proračunu, Odluka o izvršavanju Proračuna Dubrovačko-neretvanske županije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lastRenderedPageBreak/>
        <w:t>Pokazatelj uspješnosti:</w:t>
      </w:r>
      <w:r w:rsidRPr="00642267">
        <w:rPr>
          <w:rFonts w:asciiTheme="minorHAnsi" w:hAnsiTheme="minorHAnsi" w:cstheme="minorHAnsi"/>
        </w:rPr>
        <w:t xml:space="preserve"> Proračunski korisnici imaju mogućnost kroz svoje financijske planove planirati prihode i iz drugih izvora financiranja - vlastiti prihodi, prihodi za posebne namjene, ostale pomoći – gradovi, općine, pomoći/fondovi EU, donacije, prihode od nefinancijske imovine i naknadu. štete s osnova osiguranja. Upravni odjel za zdravstvo, obitelj i branitelje prati polugodišnje i godišnje korištenje vlastitih i namjenskih prihoda i rashoda proračunskih korisnika. Svrstavaju se u dodatne djelatnosti proračunskih korisnika. Kroz plan i ostvarenje vlastitih i namjenskih prihoda i rashoda uključuje prihode od prodaje robe i pruženih usluga – prodaja robe u ljekarni, sufinanciranje cijene usluge participacije, ugovoreni prihodi HZZ-a, prihodi smještaja korisnika u domovima, prehrane i izvaninstitucionalne skrbi.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Kroz ostvarene prihode iz drugih izvora financiranja sredstva se ulažu u daljnji napredak zdravstvenih ustanova i domova za starije osobe.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"/>
        <w:gridCol w:w="4108"/>
        <w:gridCol w:w="1439"/>
        <w:gridCol w:w="1439"/>
        <w:gridCol w:w="1439"/>
      </w:tblGrid>
      <w:tr w:rsidR="000A629E" w:rsidRPr="00642267" w:rsidTr="008C71FC">
        <w:tc>
          <w:tcPr>
            <w:tcW w:w="637" w:type="dxa"/>
            <w:shd w:val="clear" w:color="auto" w:fill="F2F2F2" w:themeFill="background1" w:themeFillShade="F2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108" w:type="dxa"/>
            <w:shd w:val="clear" w:color="auto" w:fill="F2F2F2" w:themeFill="background1" w:themeFillShade="F2"/>
          </w:tcPr>
          <w:p w:rsidR="000A629E" w:rsidRPr="00642267" w:rsidRDefault="000A629E" w:rsidP="008C71FC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0A629E" w:rsidRPr="00642267" w:rsidRDefault="000A629E" w:rsidP="008C71FC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0A629E" w:rsidRPr="00642267" w:rsidRDefault="000A629E" w:rsidP="008C71FC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0A629E" w:rsidRPr="00642267" w:rsidRDefault="000A629E" w:rsidP="008C71FC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0A629E" w:rsidRPr="00642267" w:rsidTr="000A629E">
        <w:tc>
          <w:tcPr>
            <w:tcW w:w="637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108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Pružanje usluga temeljem ugovora s HZZOm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70.624.976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72.368.762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72.490.048</w:t>
            </w:r>
          </w:p>
        </w:tc>
      </w:tr>
      <w:tr w:rsidR="000A629E" w:rsidRPr="00642267" w:rsidTr="000A629E">
        <w:tc>
          <w:tcPr>
            <w:tcW w:w="637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108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Pružanje usluga izvan ugovora s HZZO-om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9.789.067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9.734.989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9.747.912</w:t>
            </w:r>
          </w:p>
        </w:tc>
      </w:tr>
      <w:tr w:rsidR="000A629E" w:rsidRPr="00642267" w:rsidTr="000A629E">
        <w:tc>
          <w:tcPr>
            <w:tcW w:w="637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108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Usavršavanje zdravstvenih radnika i podizanje kvalitete zdravstvene zaštite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1.844.521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1.187.786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1.214.332</w:t>
            </w:r>
          </w:p>
        </w:tc>
      </w:tr>
      <w:tr w:rsidR="000A629E" w:rsidRPr="00642267" w:rsidTr="000A629E">
        <w:tc>
          <w:tcPr>
            <w:tcW w:w="637" w:type="dxa"/>
          </w:tcPr>
          <w:p w:rsidR="000A629E" w:rsidRPr="00642267" w:rsidRDefault="000A629E" w:rsidP="000A629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08" w:type="dxa"/>
          </w:tcPr>
          <w:p w:rsidR="000A629E" w:rsidRPr="00642267" w:rsidRDefault="000A629E" w:rsidP="000A629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439" w:type="dxa"/>
          </w:tcPr>
          <w:p w:rsidR="000A629E" w:rsidRPr="00642267" w:rsidRDefault="000A629E" w:rsidP="000A629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82.258.564</w:t>
            </w:r>
          </w:p>
        </w:tc>
        <w:tc>
          <w:tcPr>
            <w:tcW w:w="1439" w:type="dxa"/>
          </w:tcPr>
          <w:p w:rsidR="000A629E" w:rsidRPr="00642267" w:rsidRDefault="000A629E" w:rsidP="000A629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83.291.537</w:t>
            </w:r>
          </w:p>
        </w:tc>
        <w:tc>
          <w:tcPr>
            <w:tcW w:w="1439" w:type="dxa"/>
          </w:tcPr>
          <w:p w:rsidR="000A629E" w:rsidRPr="00642267" w:rsidRDefault="000A629E" w:rsidP="000A629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83.452.292</w:t>
            </w:r>
          </w:p>
        </w:tc>
      </w:tr>
    </w:tbl>
    <w:p w:rsidR="000A629E" w:rsidRPr="00642267" w:rsidRDefault="000A629E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0A629E" w:rsidRPr="00642267" w:rsidRDefault="000A629E" w:rsidP="000A629E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0A629E" w:rsidRPr="00642267" w:rsidRDefault="000A629E" w:rsidP="000A629E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 xml:space="preserve">Prijedlog Plana prihoda i primitaka i Prijedlog Plana rashoda i izdataka za 2023. s projekcijama za 2024. i 2025. godinu napravljen je na temelju konsolidiranih pojedinačnih planova koje su dostavili proračunski korisnici tj. zdravstvene ustanove. U odnosu na prošlogodišnje projekcije došlo je do povećanja vlastitih prihoda (kamate, prihodi od prodaje robe i pruženih usluga kao npr. najam prostora, prodaje robe u ljekarnama), i povećali su se prihodi za posebne namjene (ugovoreni prihodi HZZO-a). Također dolazi do povećanja donacija (donacije od neprofitnih organizacija, trgovačkih društava, općina i gradova) i smanjenja ostalih pomoći (prihodi od gradova i općina). </w:t>
      </w:r>
    </w:p>
    <w:p w:rsidR="000A629E" w:rsidRPr="00642267" w:rsidRDefault="000A629E" w:rsidP="000A629E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Ostale aktivnosti su u skladu s projekcijama iz prethodnog razdoblja.</w:t>
      </w:r>
    </w:p>
    <w:sectPr w:rsidR="000A629E" w:rsidRPr="00642267" w:rsidSect="00EF43A6"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97B" w:rsidRDefault="00C8597B" w:rsidP="00373D6C">
      <w:pPr>
        <w:spacing w:after="0" w:line="240" w:lineRule="auto"/>
      </w:pPr>
      <w:r>
        <w:separator/>
      </w:r>
    </w:p>
  </w:endnote>
  <w:endnote w:type="continuationSeparator" w:id="0">
    <w:p w:rsidR="00C8597B" w:rsidRDefault="00C8597B" w:rsidP="0037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9109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4DB9" w:rsidRDefault="00C8597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26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A4DB9" w:rsidRDefault="009A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97B" w:rsidRDefault="00C8597B" w:rsidP="00373D6C">
      <w:pPr>
        <w:spacing w:after="0" w:line="240" w:lineRule="auto"/>
      </w:pPr>
      <w:r>
        <w:separator/>
      </w:r>
    </w:p>
  </w:footnote>
  <w:footnote w:type="continuationSeparator" w:id="0">
    <w:p w:rsidR="00C8597B" w:rsidRDefault="00C8597B" w:rsidP="0037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3857"/>
    <w:multiLevelType w:val="hybridMultilevel"/>
    <w:tmpl w:val="3C62EF7C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26FD"/>
    <w:multiLevelType w:val="hybridMultilevel"/>
    <w:tmpl w:val="6070027C"/>
    <w:lvl w:ilvl="0" w:tplc="6AE662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77303"/>
    <w:multiLevelType w:val="multilevel"/>
    <w:tmpl w:val="398C3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A71D3"/>
    <w:multiLevelType w:val="hybridMultilevel"/>
    <w:tmpl w:val="6444F1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D53BE"/>
    <w:multiLevelType w:val="hybridMultilevel"/>
    <w:tmpl w:val="E28A6A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247BB"/>
    <w:multiLevelType w:val="hybridMultilevel"/>
    <w:tmpl w:val="43F0A836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A2310"/>
    <w:multiLevelType w:val="hybridMultilevel"/>
    <w:tmpl w:val="67B4CAB8"/>
    <w:lvl w:ilvl="0" w:tplc="DA06BB1A">
      <w:start w:val="5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50FF2"/>
    <w:multiLevelType w:val="hybridMultilevel"/>
    <w:tmpl w:val="24287186"/>
    <w:lvl w:ilvl="0" w:tplc="7FFC4A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647EF9"/>
    <w:multiLevelType w:val="hybridMultilevel"/>
    <w:tmpl w:val="D7E6297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1043E6"/>
    <w:multiLevelType w:val="hybridMultilevel"/>
    <w:tmpl w:val="B0509EB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A6670C"/>
    <w:multiLevelType w:val="hybridMultilevel"/>
    <w:tmpl w:val="0180F04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C13563"/>
    <w:multiLevelType w:val="hybridMultilevel"/>
    <w:tmpl w:val="A9BAC436"/>
    <w:lvl w:ilvl="0" w:tplc="C65E7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E5CEC"/>
    <w:multiLevelType w:val="multilevel"/>
    <w:tmpl w:val="06FA1930"/>
    <w:lvl w:ilvl="0">
      <w:start w:val="1"/>
      <w:numFmt w:val="lowerLetter"/>
      <w:lvlText w:val="(%1)"/>
      <w:lvlJc w:val="left"/>
      <w:pPr>
        <w:ind w:left="1095" w:hanging="73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20762"/>
    <w:multiLevelType w:val="hybridMultilevel"/>
    <w:tmpl w:val="CED42D4C"/>
    <w:lvl w:ilvl="0" w:tplc="C65E7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1021F9"/>
    <w:multiLevelType w:val="hybridMultilevel"/>
    <w:tmpl w:val="C87487EE"/>
    <w:lvl w:ilvl="0" w:tplc="1EAAB7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4256114B"/>
    <w:multiLevelType w:val="hybridMultilevel"/>
    <w:tmpl w:val="8DC0838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685E38"/>
    <w:multiLevelType w:val="hybridMultilevel"/>
    <w:tmpl w:val="EBC469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583EA3"/>
    <w:multiLevelType w:val="hybridMultilevel"/>
    <w:tmpl w:val="41D014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ED4643"/>
    <w:multiLevelType w:val="hybridMultilevel"/>
    <w:tmpl w:val="6A0260B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387A45"/>
    <w:multiLevelType w:val="hybridMultilevel"/>
    <w:tmpl w:val="EC2C1568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346B3F"/>
    <w:multiLevelType w:val="hybridMultilevel"/>
    <w:tmpl w:val="3BD23BFC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2520F1"/>
    <w:multiLevelType w:val="hybridMultilevel"/>
    <w:tmpl w:val="F926C9B2"/>
    <w:lvl w:ilvl="0" w:tplc="C65E776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C1426"/>
    <w:multiLevelType w:val="multilevel"/>
    <w:tmpl w:val="4DA8761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D4D29"/>
    <w:multiLevelType w:val="hybridMultilevel"/>
    <w:tmpl w:val="E3142B66"/>
    <w:lvl w:ilvl="0" w:tplc="30FA5A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10474"/>
    <w:multiLevelType w:val="hybridMultilevel"/>
    <w:tmpl w:val="10B2B7EA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D2D9F"/>
    <w:multiLevelType w:val="hybridMultilevel"/>
    <w:tmpl w:val="C80ABD1C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BA2C77"/>
    <w:multiLevelType w:val="hybridMultilevel"/>
    <w:tmpl w:val="6824AACE"/>
    <w:lvl w:ilvl="0" w:tplc="3C9C9E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</w:num>
  <w:num w:numId="11">
    <w:abstractNumId w:val="21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2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7"/>
  </w:num>
  <w:num w:numId="21">
    <w:abstractNumId w:val="10"/>
  </w:num>
  <w:num w:numId="22">
    <w:abstractNumId w:val="14"/>
  </w:num>
  <w:num w:numId="23">
    <w:abstractNumId w:val="15"/>
  </w:num>
  <w:num w:numId="24">
    <w:abstractNumId w:val="16"/>
  </w:num>
  <w:num w:numId="25">
    <w:abstractNumId w:val="1"/>
  </w:num>
  <w:num w:numId="26">
    <w:abstractNumId w:val="8"/>
  </w:num>
  <w:num w:numId="27">
    <w:abstractNumId w:val="4"/>
  </w:num>
  <w:num w:numId="28">
    <w:abstractNumId w:val="24"/>
  </w:num>
  <w:num w:numId="29">
    <w:abstractNumId w:val="23"/>
  </w:num>
  <w:num w:numId="30">
    <w:abstractNumId w:val="13"/>
  </w:num>
  <w:num w:numId="31">
    <w:abstractNumId w:val="11"/>
  </w:num>
  <w:num w:numId="32">
    <w:abstractNumId w:val="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varPagination" w:val="True"/>
    <w:docVar w:name="varZoom" w:val="100"/>
  </w:docVars>
  <w:rsids>
    <w:rsidRoot w:val="00B03D0E"/>
    <w:rsid w:val="00015E51"/>
    <w:rsid w:val="000455AC"/>
    <w:rsid w:val="00052223"/>
    <w:rsid w:val="00067E64"/>
    <w:rsid w:val="000744FB"/>
    <w:rsid w:val="000773D9"/>
    <w:rsid w:val="00084A5A"/>
    <w:rsid w:val="000A04D0"/>
    <w:rsid w:val="000A629E"/>
    <w:rsid w:val="000B6A97"/>
    <w:rsid w:val="000E798D"/>
    <w:rsid w:val="000F519C"/>
    <w:rsid w:val="00111B39"/>
    <w:rsid w:val="00112449"/>
    <w:rsid w:val="00120724"/>
    <w:rsid w:val="001372AD"/>
    <w:rsid w:val="0014439E"/>
    <w:rsid w:val="00156DAE"/>
    <w:rsid w:val="0016559C"/>
    <w:rsid w:val="001702EB"/>
    <w:rsid w:val="00180705"/>
    <w:rsid w:val="001839B4"/>
    <w:rsid w:val="00191B14"/>
    <w:rsid w:val="00197E0C"/>
    <w:rsid w:val="001A00DD"/>
    <w:rsid w:val="001A368E"/>
    <w:rsid w:val="001B57BB"/>
    <w:rsid w:val="001C1044"/>
    <w:rsid w:val="001D62F5"/>
    <w:rsid w:val="001E2CD0"/>
    <w:rsid w:val="001E7A70"/>
    <w:rsid w:val="001F2F00"/>
    <w:rsid w:val="002009FB"/>
    <w:rsid w:val="0021150E"/>
    <w:rsid w:val="0023607C"/>
    <w:rsid w:val="00236256"/>
    <w:rsid w:val="002551A6"/>
    <w:rsid w:val="002630D9"/>
    <w:rsid w:val="00281636"/>
    <w:rsid w:val="0028487F"/>
    <w:rsid w:val="00297126"/>
    <w:rsid w:val="002A7AB3"/>
    <w:rsid w:val="002B2526"/>
    <w:rsid w:val="002C0D9F"/>
    <w:rsid w:val="002C22FB"/>
    <w:rsid w:val="002C7331"/>
    <w:rsid w:val="002C7C5A"/>
    <w:rsid w:val="002E3EA6"/>
    <w:rsid w:val="002E4DB1"/>
    <w:rsid w:val="002E6AF5"/>
    <w:rsid w:val="002F2C68"/>
    <w:rsid w:val="002F41C2"/>
    <w:rsid w:val="002F5C7B"/>
    <w:rsid w:val="003006CB"/>
    <w:rsid w:val="0030222E"/>
    <w:rsid w:val="0031179C"/>
    <w:rsid w:val="003128E6"/>
    <w:rsid w:val="00317ACC"/>
    <w:rsid w:val="00331A1F"/>
    <w:rsid w:val="00340C0E"/>
    <w:rsid w:val="00344267"/>
    <w:rsid w:val="003470F0"/>
    <w:rsid w:val="00353980"/>
    <w:rsid w:val="003618F0"/>
    <w:rsid w:val="0037022F"/>
    <w:rsid w:val="00372DEE"/>
    <w:rsid w:val="00373D6C"/>
    <w:rsid w:val="00396E29"/>
    <w:rsid w:val="003A1210"/>
    <w:rsid w:val="003A1AC4"/>
    <w:rsid w:val="003B0852"/>
    <w:rsid w:val="003C0AE7"/>
    <w:rsid w:val="003C7717"/>
    <w:rsid w:val="003D081C"/>
    <w:rsid w:val="003D3ACF"/>
    <w:rsid w:val="00400FC4"/>
    <w:rsid w:val="0041200E"/>
    <w:rsid w:val="00414C9E"/>
    <w:rsid w:val="0043280A"/>
    <w:rsid w:val="0043798F"/>
    <w:rsid w:val="004513B7"/>
    <w:rsid w:val="00461B83"/>
    <w:rsid w:val="00475F1C"/>
    <w:rsid w:val="00483A5B"/>
    <w:rsid w:val="004844D4"/>
    <w:rsid w:val="004940CA"/>
    <w:rsid w:val="004A15A5"/>
    <w:rsid w:val="004A18CE"/>
    <w:rsid w:val="004B50CB"/>
    <w:rsid w:val="004B6E7F"/>
    <w:rsid w:val="004C1623"/>
    <w:rsid w:val="004C1DC8"/>
    <w:rsid w:val="004D2045"/>
    <w:rsid w:val="004D3D5C"/>
    <w:rsid w:val="004F1361"/>
    <w:rsid w:val="00502141"/>
    <w:rsid w:val="00506DD7"/>
    <w:rsid w:val="005209C8"/>
    <w:rsid w:val="00532577"/>
    <w:rsid w:val="005746B9"/>
    <w:rsid w:val="0058161A"/>
    <w:rsid w:val="00593ECE"/>
    <w:rsid w:val="0059649F"/>
    <w:rsid w:val="005B39D0"/>
    <w:rsid w:val="005C5713"/>
    <w:rsid w:val="005D0B03"/>
    <w:rsid w:val="005E0E93"/>
    <w:rsid w:val="005E45C7"/>
    <w:rsid w:val="005F1077"/>
    <w:rsid w:val="005F21ED"/>
    <w:rsid w:val="00601FD2"/>
    <w:rsid w:val="0060324B"/>
    <w:rsid w:val="00630C70"/>
    <w:rsid w:val="00636829"/>
    <w:rsid w:val="00642267"/>
    <w:rsid w:val="00643FF0"/>
    <w:rsid w:val="00655678"/>
    <w:rsid w:val="006B44BB"/>
    <w:rsid w:val="006B6154"/>
    <w:rsid w:val="006D3D7B"/>
    <w:rsid w:val="006E01D3"/>
    <w:rsid w:val="006F0A9B"/>
    <w:rsid w:val="007001FC"/>
    <w:rsid w:val="00701644"/>
    <w:rsid w:val="00706618"/>
    <w:rsid w:val="007128D7"/>
    <w:rsid w:val="00715102"/>
    <w:rsid w:val="00721A82"/>
    <w:rsid w:val="00746995"/>
    <w:rsid w:val="007720BB"/>
    <w:rsid w:val="00772AB7"/>
    <w:rsid w:val="007819AF"/>
    <w:rsid w:val="007870A5"/>
    <w:rsid w:val="0079262B"/>
    <w:rsid w:val="0079497A"/>
    <w:rsid w:val="00796676"/>
    <w:rsid w:val="007B143D"/>
    <w:rsid w:val="007B189B"/>
    <w:rsid w:val="007B4874"/>
    <w:rsid w:val="007C2099"/>
    <w:rsid w:val="007E4613"/>
    <w:rsid w:val="007F015A"/>
    <w:rsid w:val="007F01BF"/>
    <w:rsid w:val="007F6789"/>
    <w:rsid w:val="00802FF9"/>
    <w:rsid w:val="008057F7"/>
    <w:rsid w:val="00806405"/>
    <w:rsid w:val="008068A5"/>
    <w:rsid w:val="008076DC"/>
    <w:rsid w:val="008152CB"/>
    <w:rsid w:val="00820B60"/>
    <w:rsid w:val="00821F17"/>
    <w:rsid w:val="008329E0"/>
    <w:rsid w:val="00841094"/>
    <w:rsid w:val="00871D76"/>
    <w:rsid w:val="00885F3C"/>
    <w:rsid w:val="008925E3"/>
    <w:rsid w:val="008B4D9A"/>
    <w:rsid w:val="008C3727"/>
    <w:rsid w:val="008C71FC"/>
    <w:rsid w:val="008D2D33"/>
    <w:rsid w:val="008D42DC"/>
    <w:rsid w:val="008D5B53"/>
    <w:rsid w:val="008F49DF"/>
    <w:rsid w:val="008F728C"/>
    <w:rsid w:val="009029C3"/>
    <w:rsid w:val="0091339A"/>
    <w:rsid w:val="009143BA"/>
    <w:rsid w:val="009213B4"/>
    <w:rsid w:val="00943E04"/>
    <w:rsid w:val="00951D0F"/>
    <w:rsid w:val="009576E0"/>
    <w:rsid w:val="00964369"/>
    <w:rsid w:val="00972611"/>
    <w:rsid w:val="009738E2"/>
    <w:rsid w:val="00986C5C"/>
    <w:rsid w:val="00990031"/>
    <w:rsid w:val="009A4DB9"/>
    <w:rsid w:val="009B102E"/>
    <w:rsid w:val="009C62D4"/>
    <w:rsid w:val="009E1E07"/>
    <w:rsid w:val="009E400E"/>
    <w:rsid w:val="009E420F"/>
    <w:rsid w:val="009F3D8C"/>
    <w:rsid w:val="009F4165"/>
    <w:rsid w:val="00A024AB"/>
    <w:rsid w:val="00A05A1E"/>
    <w:rsid w:val="00A143DE"/>
    <w:rsid w:val="00A27FC8"/>
    <w:rsid w:val="00A33BEE"/>
    <w:rsid w:val="00A45E24"/>
    <w:rsid w:val="00A53B35"/>
    <w:rsid w:val="00A74B33"/>
    <w:rsid w:val="00A74BF7"/>
    <w:rsid w:val="00A76AE8"/>
    <w:rsid w:val="00A84BE3"/>
    <w:rsid w:val="00A860CF"/>
    <w:rsid w:val="00A87EF1"/>
    <w:rsid w:val="00A97BF8"/>
    <w:rsid w:val="00AA6900"/>
    <w:rsid w:val="00AB7D09"/>
    <w:rsid w:val="00AC0B44"/>
    <w:rsid w:val="00AC0DF4"/>
    <w:rsid w:val="00AD7D1D"/>
    <w:rsid w:val="00AF1F11"/>
    <w:rsid w:val="00B02FEF"/>
    <w:rsid w:val="00B03D0E"/>
    <w:rsid w:val="00B26574"/>
    <w:rsid w:val="00B44494"/>
    <w:rsid w:val="00B53740"/>
    <w:rsid w:val="00B57A6D"/>
    <w:rsid w:val="00B60C78"/>
    <w:rsid w:val="00B63D1C"/>
    <w:rsid w:val="00B82AB5"/>
    <w:rsid w:val="00B85EAC"/>
    <w:rsid w:val="00BA0896"/>
    <w:rsid w:val="00BB2B0A"/>
    <w:rsid w:val="00BD0B49"/>
    <w:rsid w:val="00BE1223"/>
    <w:rsid w:val="00BE31F8"/>
    <w:rsid w:val="00C06A4A"/>
    <w:rsid w:val="00C078AC"/>
    <w:rsid w:val="00C155BA"/>
    <w:rsid w:val="00C43314"/>
    <w:rsid w:val="00C45902"/>
    <w:rsid w:val="00C501B3"/>
    <w:rsid w:val="00C5592A"/>
    <w:rsid w:val="00C64133"/>
    <w:rsid w:val="00C74F54"/>
    <w:rsid w:val="00C836D6"/>
    <w:rsid w:val="00C8597B"/>
    <w:rsid w:val="00C96093"/>
    <w:rsid w:val="00C96FD0"/>
    <w:rsid w:val="00CB2764"/>
    <w:rsid w:val="00CC5EEB"/>
    <w:rsid w:val="00CC768F"/>
    <w:rsid w:val="00CD00F0"/>
    <w:rsid w:val="00CF1D1E"/>
    <w:rsid w:val="00D0148D"/>
    <w:rsid w:val="00D07344"/>
    <w:rsid w:val="00D14D0B"/>
    <w:rsid w:val="00D23B04"/>
    <w:rsid w:val="00D267D5"/>
    <w:rsid w:val="00D50F46"/>
    <w:rsid w:val="00D51411"/>
    <w:rsid w:val="00D54526"/>
    <w:rsid w:val="00D55063"/>
    <w:rsid w:val="00D676A1"/>
    <w:rsid w:val="00D76EB6"/>
    <w:rsid w:val="00D85BAD"/>
    <w:rsid w:val="00D87FC2"/>
    <w:rsid w:val="00D9080A"/>
    <w:rsid w:val="00D94FE2"/>
    <w:rsid w:val="00D96AAA"/>
    <w:rsid w:val="00DA2929"/>
    <w:rsid w:val="00DD4514"/>
    <w:rsid w:val="00DE259D"/>
    <w:rsid w:val="00DF3B12"/>
    <w:rsid w:val="00E02A64"/>
    <w:rsid w:val="00E0300C"/>
    <w:rsid w:val="00E0662F"/>
    <w:rsid w:val="00E36A39"/>
    <w:rsid w:val="00E4342F"/>
    <w:rsid w:val="00E43444"/>
    <w:rsid w:val="00E5250D"/>
    <w:rsid w:val="00E5511F"/>
    <w:rsid w:val="00E57BBA"/>
    <w:rsid w:val="00E63B58"/>
    <w:rsid w:val="00E65E76"/>
    <w:rsid w:val="00E86318"/>
    <w:rsid w:val="00E95F37"/>
    <w:rsid w:val="00E96646"/>
    <w:rsid w:val="00EA0C84"/>
    <w:rsid w:val="00EB7BE9"/>
    <w:rsid w:val="00EC789E"/>
    <w:rsid w:val="00EE4221"/>
    <w:rsid w:val="00EF43A6"/>
    <w:rsid w:val="00EF6C06"/>
    <w:rsid w:val="00F03803"/>
    <w:rsid w:val="00F106DB"/>
    <w:rsid w:val="00F10917"/>
    <w:rsid w:val="00F10B66"/>
    <w:rsid w:val="00F1347E"/>
    <w:rsid w:val="00F3168C"/>
    <w:rsid w:val="00F440CC"/>
    <w:rsid w:val="00F46A7F"/>
    <w:rsid w:val="00F57F67"/>
    <w:rsid w:val="00F640A2"/>
    <w:rsid w:val="00F67A7A"/>
    <w:rsid w:val="00F82952"/>
    <w:rsid w:val="00F90B3D"/>
    <w:rsid w:val="00F94714"/>
    <w:rsid w:val="00FB4221"/>
    <w:rsid w:val="00FC01A9"/>
    <w:rsid w:val="00FC144C"/>
    <w:rsid w:val="00FD5978"/>
    <w:rsid w:val="00FE1823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57E05D9-2F28-4878-914C-71C0E915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CC"/>
  </w:style>
  <w:style w:type="paragraph" w:styleId="Heading1">
    <w:name w:val="heading 1"/>
    <w:basedOn w:val="Normal"/>
    <w:link w:val="Heading1Char"/>
    <w:uiPriority w:val="9"/>
    <w:qFormat/>
    <w:rsid w:val="00B03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3D0E"/>
    <w:pPr>
      <w:keepNext/>
      <w:widowControl w:val="0"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3D0E"/>
    <w:pPr>
      <w:keepNext/>
      <w:widowControl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3D0E"/>
    <w:pPr>
      <w:keepNext/>
      <w:keepLines/>
      <w:spacing w:before="240" w:after="40" w:line="240" w:lineRule="auto"/>
      <w:jc w:val="center"/>
      <w:outlineLvl w:val="3"/>
    </w:pPr>
    <w:rPr>
      <w:rFonts w:ascii="Times New Roman" w:eastAsia="Calibri" w:hAnsi="Times New Roman" w:cs="Times New Roman"/>
      <w:b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3D0E"/>
    <w:pPr>
      <w:keepNext/>
      <w:keepLines/>
      <w:spacing w:before="220" w:after="40" w:line="240" w:lineRule="auto"/>
      <w:jc w:val="center"/>
      <w:outlineLvl w:val="4"/>
    </w:pPr>
    <w:rPr>
      <w:rFonts w:ascii="Times New Roman" w:eastAsia="Calibri" w:hAnsi="Times New Roman" w:cs="Times New Roman"/>
      <w:b/>
      <w:lang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3D0E"/>
    <w:pPr>
      <w:keepNext/>
      <w:keepLines/>
      <w:spacing w:before="200" w:after="40" w:line="240" w:lineRule="auto"/>
      <w:jc w:val="center"/>
      <w:outlineLvl w:val="5"/>
    </w:pPr>
    <w:rPr>
      <w:rFonts w:ascii="Times New Roman" w:eastAsia="Calibri" w:hAnsi="Times New Roman" w:cs="Times New Roman"/>
      <w:b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3D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03D0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03D0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3D0E"/>
    <w:rPr>
      <w:rFonts w:ascii="Times New Roman" w:eastAsia="Calibri" w:hAnsi="Times New Roman" w:cs="Times New Roman"/>
      <w:b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3D0E"/>
    <w:rPr>
      <w:rFonts w:ascii="Times New Roman" w:eastAsia="Calibri" w:hAnsi="Times New Roman" w:cs="Times New Roman"/>
      <w:b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3D0E"/>
    <w:rPr>
      <w:rFonts w:ascii="Times New Roman" w:eastAsia="Calibri" w:hAnsi="Times New Roman" w:cs="Times New Roman"/>
      <w:b/>
      <w:sz w:val="20"/>
      <w:szCs w:val="20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B03D0E"/>
  </w:style>
  <w:style w:type="paragraph" w:styleId="NoSpacing">
    <w:name w:val="No Spacing"/>
    <w:link w:val="NoSpacingChar"/>
    <w:uiPriority w:val="1"/>
    <w:qFormat/>
    <w:rsid w:val="00B03D0E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3D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03D0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B03D0E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03D0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B03D0E"/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D0E"/>
    <w:pPr>
      <w:spacing w:after="0" w:line="240" w:lineRule="auto"/>
      <w:jc w:val="center"/>
    </w:pPr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D0E"/>
    <w:rPr>
      <w:rFonts w:ascii="Tahoma" w:eastAsia="Calibri" w:hAnsi="Tahoma" w:cs="Times New Roman"/>
      <w:sz w:val="16"/>
      <w:szCs w:val="16"/>
    </w:rPr>
  </w:style>
  <w:style w:type="character" w:customStyle="1" w:styleId="NoSpacingChar">
    <w:name w:val="No Spacing Char"/>
    <w:link w:val="NoSpacing"/>
    <w:uiPriority w:val="1"/>
    <w:locked/>
    <w:rsid w:val="00B03D0E"/>
    <w:rPr>
      <w:rFonts w:ascii="Calibri" w:eastAsia="Times New Roman" w:hAnsi="Calibri" w:cs="Times New Roman"/>
    </w:rPr>
  </w:style>
  <w:style w:type="numbering" w:customStyle="1" w:styleId="Bezpopisa1">
    <w:name w:val="Bez popisa1"/>
    <w:next w:val="NoList"/>
    <w:uiPriority w:val="99"/>
    <w:semiHidden/>
    <w:unhideWhenUsed/>
    <w:rsid w:val="00B03D0E"/>
  </w:style>
  <w:style w:type="character" w:customStyle="1" w:styleId="apple-converted-space">
    <w:name w:val="apple-converted-space"/>
    <w:rsid w:val="00B03D0E"/>
  </w:style>
  <w:style w:type="character" w:styleId="Hyperlink">
    <w:name w:val="Hyperlink"/>
    <w:uiPriority w:val="99"/>
    <w:semiHidden/>
    <w:unhideWhenUsed/>
    <w:rsid w:val="00B03D0E"/>
    <w:rPr>
      <w:color w:val="0000FF"/>
      <w:u w:val="single"/>
    </w:rPr>
  </w:style>
  <w:style w:type="character" w:styleId="Strong">
    <w:name w:val="Strong"/>
    <w:uiPriority w:val="22"/>
    <w:qFormat/>
    <w:rsid w:val="00B03D0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03D0E"/>
    <w:rPr>
      <w:color w:val="800080"/>
      <w:u w:val="single"/>
    </w:rPr>
  </w:style>
  <w:style w:type="character" w:customStyle="1" w:styleId="BodyTextChar">
    <w:name w:val="Body Text Char"/>
    <w:aliases w:val="uvlaka 2 Char,uvlaka 3 Char"/>
    <w:link w:val="BodyText"/>
    <w:uiPriority w:val="99"/>
    <w:locked/>
    <w:rsid w:val="00B03D0E"/>
    <w:rPr>
      <w:rFonts w:ascii="Arial" w:eastAsia="Times New Roman" w:hAnsi="Arial" w:cs="Arial"/>
      <w:szCs w:val="24"/>
    </w:rPr>
  </w:style>
  <w:style w:type="paragraph" w:styleId="BodyText">
    <w:name w:val="Body Text"/>
    <w:aliases w:val="uvlaka 2,uvlaka 3"/>
    <w:basedOn w:val="Normal"/>
    <w:link w:val="BodyTextChar"/>
    <w:uiPriority w:val="99"/>
    <w:unhideWhenUsed/>
    <w:rsid w:val="00B03D0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1">
    <w:name w:val="Body Text Char1"/>
    <w:aliases w:val="uvlaka 2 Char1,uvlaka 3 Char1"/>
    <w:basedOn w:val="DefaultParagraphFont"/>
    <w:uiPriority w:val="99"/>
    <w:semiHidden/>
    <w:rsid w:val="00B03D0E"/>
  </w:style>
  <w:style w:type="paragraph" w:customStyle="1" w:styleId="Default">
    <w:name w:val="Default"/>
    <w:rsid w:val="00B03D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B03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uiPriority w:val="20"/>
    <w:qFormat/>
    <w:rsid w:val="00B03D0E"/>
    <w:rPr>
      <w:i/>
      <w:iCs/>
    </w:rPr>
  </w:style>
  <w:style w:type="character" w:customStyle="1" w:styleId="fontstyle01">
    <w:name w:val="fontstyle01"/>
    <w:rsid w:val="00B03D0E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TijelotekstaChar1">
    <w:name w:val="Tijelo teksta Char1"/>
    <w:basedOn w:val="DefaultParagraphFont"/>
    <w:uiPriority w:val="99"/>
    <w:semiHidden/>
    <w:rsid w:val="00B03D0E"/>
  </w:style>
  <w:style w:type="paragraph" w:customStyle="1" w:styleId="paragraph">
    <w:name w:val="paragraph"/>
    <w:basedOn w:val="Normal"/>
    <w:rsid w:val="00B0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B03D0E"/>
  </w:style>
  <w:style w:type="character" w:customStyle="1" w:styleId="eop">
    <w:name w:val="eop"/>
    <w:basedOn w:val="DefaultParagraphFont"/>
    <w:rsid w:val="00B03D0E"/>
  </w:style>
  <w:style w:type="paragraph" w:customStyle="1" w:styleId="msonormal0">
    <w:name w:val="msonormal"/>
    <w:basedOn w:val="Normal"/>
    <w:rsid w:val="00B0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tle">
    <w:name w:val="Title"/>
    <w:basedOn w:val="Normal"/>
    <w:next w:val="Normal"/>
    <w:link w:val="TitleChar"/>
    <w:uiPriority w:val="10"/>
    <w:qFormat/>
    <w:rsid w:val="00B03D0E"/>
    <w:pPr>
      <w:keepNext/>
      <w:keepLines/>
      <w:spacing w:before="480" w:after="120" w:line="240" w:lineRule="auto"/>
      <w:jc w:val="center"/>
    </w:pPr>
    <w:rPr>
      <w:rFonts w:ascii="Times New Roman" w:eastAsia="Calibri" w:hAnsi="Times New Roman" w:cs="Times New Roman"/>
      <w:b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B03D0E"/>
    <w:rPr>
      <w:rFonts w:ascii="Times New Roman" w:eastAsia="Calibri" w:hAnsi="Times New Roman" w:cs="Times New Roman"/>
      <w:b/>
      <w:sz w:val="72"/>
      <w:szCs w:val="72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3D0E"/>
    <w:pPr>
      <w:keepNext/>
      <w:keepLines/>
      <w:spacing w:before="360"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B03D0E"/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table" w:customStyle="1" w:styleId="TableNormal1">
    <w:name w:val="Table Normal1"/>
    <w:rsid w:val="00B03D0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msonormal">
    <w:name w:val="x_msonormal"/>
    <w:basedOn w:val="Normal"/>
    <w:rsid w:val="008D2D33"/>
    <w:pPr>
      <w:spacing w:after="0" w:line="240" w:lineRule="auto"/>
    </w:pPr>
    <w:rPr>
      <w:rFonts w:ascii="Calibri" w:hAnsi="Calibri" w:cs="Calibri"/>
      <w:lang w:eastAsia="hr-H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439E"/>
    <w:pPr>
      <w:pBdr>
        <w:bottom w:val="single" w:sz="4" w:space="4" w:color="1CADE4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1CADE4" w:themeColor="accent1"/>
      <w:sz w:val="24"/>
      <w:szCs w:val="24"/>
      <w:lang w:eastAsia="hr-H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439E"/>
    <w:rPr>
      <w:rFonts w:ascii="Times New Roman" w:eastAsia="Times New Roman" w:hAnsi="Times New Roman" w:cs="Times New Roman"/>
      <w:b/>
      <w:bCs/>
      <w:i/>
      <w:iCs/>
      <w:color w:val="1CADE4" w:themeColor="accent1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2D24B-5A79-4D67-BAF1-23F60E1C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8420</Words>
  <Characters>47997</Characters>
  <Application>Microsoft Office Word</Application>
  <DocSecurity>0</DocSecurity>
  <Lines>399</Lines>
  <Paragraphs>112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Windows User</cp:lastModifiedBy>
  <cp:revision>5</cp:revision>
  <cp:lastPrinted>2022-10-28T12:27:00Z</cp:lastPrinted>
  <dcterms:created xsi:type="dcterms:W3CDTF">2022-11-11T12:10:00Z</dcterms:created>
  <dcterms:modified xsi:type="dcterms:W3CDTF">2022-11-14T09:27:00Z</dcterms:modified>
</cp:coreProperties>
</file>