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40" w:rsidRPr="00636C40" w:rsidRDefault="00636C40" w:rsidP="00636C40">
      <w:pPr>
        <w:pBdr>
          <w:bottom w:val="single" w:sz="12" w:space="1" w:color="auto"/>
        </w:pBdr>
        <w:rPr>
          <w:b/>
          <w:iCs/>
          <w:sz w:val="22"/>
          <w:szCs w:val="22"/>
          <w:lang w:eastAsia="hr-HR"/>
        </w:rPr>
      </w:pPr>
      <w:r w:rsidRPr="00636C40">
        <w:rPr>
          <w:b/>
          <w:iCs/>
          <w:sz w:val="22"/>
          <w:szCs w:val="22"/>
        </w:rPr>
        <w:t>OBRAZLOŽENJE PRIJEDLOGA PRORAČUNA ZA 2023. I PROJEKCIJE ZA 2024. i 2025. GODINU</w:t>
      </w:r>
    </w:p>
    <w:p w:rsidR="00F359C7" w:rsidRPr="00636C40" w:rsidRDefault="00F359C7" w:rsidP="00636C40">
      <w:pPr>
        <w:pStyle w:val="NoSpacing"/>
        <w:pBdr>
          <w:bottom w:val="single" w:sz="12" w:space="1" w:color="auto"/>
        </w:pBdr>
        <w:shd w:val="clear" w:color="auto" w:fill="FFFFFF"/>
        <w:jc w:val="center"/>
        <w:outlineLvl w:val="0"/>
        <w:rPr>
          <w:rFonts w:ascii="Times New Roman" w:hAnsi="Times New Roman"/>
          <w:b/>
          <w:bCs/>
        </w:rPr>
      </w:pPr>
      <w:r w:rsidRPr="00636C40">
        <w:rPr>
          <w:rFonts w:ascii="Times New Roman" w:hAnsi="Times New Roman"/>
          <w:b/>
          <w:bCs/>
        </w:rPr>
        <w:t xml:space="preserve">NAZIV KORISNIKA: UPRAVNI ODJEL ZA </w:t>
      </w:r>
      <w:r w:rsidR="00C5721C" w:rsidRPr="00636C40">
        <w:rPr>
          <w:rFonts w:ascii="Times New Roman" w:hAnsi="Times New Roman"/>
          <w:b/>
          <w:bCs/>
        </w:rPr>
        <w:t>PROSTORNO UREĐENJE I GRADNJU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  <w:bookmarkStart w:id="0" w:name="_GoBack"/>
      <w:bookmarkEnd w:id="0"/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SAŽETAK DJELOKRUGA RADA:</w:t>
      </w:r>
    </w:p>
    <w:p w:rsidR="00C5721C" w:rsidRPr="003C0E2F" w:rsidRDefault="00C5721C" w:rsidP="00C5721C">
      <w:p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U Upravnom odjelu za prostorno uređenje i gradnju obavljaju se upravni i stručni poslovi koji se odnose na:</w:t>
      </w:r>
    </w:p>
    <w:p w:rsidR="00C5721C" w:rsidRPr="003C0E2F" w:rsidRDefault="00C5721C" w:rsidP="00C5721C">
      <w:pPr>
        <w:jc w:val="both"/>
        <w:rPr>
          <w:i/>
          <w:sz w:val="22"/>
          <w:szCs w:val="22"/>
        </w:rPr>
      </w:pP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provođenja dokumenata prostornog uređenja i gradnje koji uključuju izdavanje lokacijskih dozvola, rješenja o utvrđivanju građevne čestice,i potvrda akata parcelacije i namjene čestica zemlje,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izdavanja akata za gradnju koji uključuju izdavanje Građevinskih dozvola, rješenja o uvjetima građenja, potvrda glavnog projekta, rješenja o izvedenom stanju, uporabnih dozvola, rješenja za građenje, uporabnih dozvola, uporabnih dozvola za posebne vrste građevina, te ostalih potvrda o kojima se vodi službena evidencija,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pripreme prijedloga te davanja mišljenja i suglasnosti na prostorne planove velikog grada, gradova i općina i provedbe urbanističkih planova,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pripreme analitičkih i drugih stručnih materijala o pitanjima iz djelokruga rada Upravnog odjela,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druge poslove utvrđene posebnim zakonom, drugim propisom, aktom Županijske skupštine i Župana.</w:t>
      </w: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PRORAČUNSKI KORISNICI IZ DJELOKRUGA RADA: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C5721C" w:rsidP="00BA7A32">
      <w:pPr>
        <w:pStyle w:val="NoSpacing"/>
        <w:shd w:val="clear" w:color="auto" w:fill="FFFFFF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</w:rPr>
        <w:t>JAVNA USTANOVA ZAVOD ZA PROSTORNO UREĐENJE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ORGANIZACIJSKA STRUKTURA:</w:t>
      </w:r>
    </w:p>
    <w:p w:rsidR="00C5721C" w:rsidRPr="003C0E2F" w:rsidRDefault="00C5721C" w:rsidP="00C5721C">
      <w:pPr>
        <w:tabs>
          <w:tab w:val="left" w:pos="405"/>
        </w:tabs>
        <w:spacing w:line="276" w:lineRule="auto"/>
        <w:jc w:val="both"/>
        <w:rPr>
          <w:i/>
          <w:iCs/>
          <w:color w:val="000000"/>
          <w:sz w:val="22"/>
          <w:szCs w:val="22"/>
        </w:rPr>
      </w:pPr>
      <w:r w:rsidRPr="003C0E2F">
        <w:rPr>
          <w:i/>
          <w:sz w:val="22"/>
          <w:szCs w:val="22"/>
        </w:rPr>
        <w:t xml:space="preserve">Upravni odjel obavlja poslove u Dubrovniku za područje </w:t>
      </w:r>
      <w:r w:rsidRPr="003C0E2F">
        <w:rPr>
          <w:i/>
          <w:iCs/>
          <w:color w:val="000000"/>
          <w:sz w:val="22"/>
          <w:szCs w:val="22"/>
        </w:rPr>
        <w:t>za područje općina Župa dubrovačka, Dubrovačko primorje i Mljet,</w:t>
      </w:r>
    </w:p>
    <w:p w:rsidR="00C5721C" w:rsidRPr="003C0E2F" w:rsidRDefault="00C5721C" w:rsidP="00C5721C">
      <w:pPr>
        <w:tabs>
          <w:tab w:val="left" w:pos="405"/>
        </w:tabs>
        <w:rPr>
          <w:i/>
          <w:iCs/>
          <w:sz w:val="22"/>
          <w:szCs w:val="22"/>
        </w:rPr>
      </w:pPr>
    </w:p>
    <w:p w:rsidR="00C5721C" w:rsidRPr="003C0E2F" w:rsidRDefault="00C5721C" w:rsidP="00C5721C">
      <w:p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Izvan sjedišta Odjela osnovane su ispostave, i to:</w:t>
      </w:r>
    </w:p>
    <w:p w:rsidR="00C5721C" w:rsidRPr="003C0E2F" w:rsidRDefault="00C5721C" w:rsidP="00C5721C">
      <w:pPr>
        <w:rPr>
          <w:i/>
          <w:sz w:val="22"/>
          <w:szCs w:val="22"/>
        </w:rPr>
      </w:pP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Konavlima  za područje Općine Konavle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Korčuli za područje Grada Korčule i općina Orebić, Trpanj i Lumbarda.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Vela Luci za područje općina Vela Luka, Smokvica, Blato i Lastovo.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Metkoviću za područje grada Metkovića i Opuzena i za općine Kula Norinska, Slivno, Pojezerje i Zažablje.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Pločama za područje grada Ploče, općine Ston i Janjina.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5103E9" w:rsidRPr="003C0E2F" w:rsidRDefault="005103E9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 xml:space="preserve">FINANCIJSKI PLAN ZA </w:t>
      </w:r>
      <w:r w:rsidR="002E1F3B" w:rsidRPr="003C0E2F">
        <w:rPr>
          <w:rFonts w:ascii="Times New Roman" w:hAnsi="Times New Roman"/>
          <w:b/>
          <w:bCs/>
        </w:rPr>
        <w:t>2023</w:t>
      </w:r>
      <w:r w:rsidRPr="003C0E2F">
        <w:rPr>
          <w:rFonts w:ascii="Times New Roman" w:hAnsi="Times New Roman"/>
          <w:b/>
          <w:bCs/>
        </w:rPr>
        <w:t>. – 20</w:t>
      </w:r>
      <w:r w:rsidR="002E1F3B" w:rsidRPr="003C0E2F">
        <w:rPr>
          <w:rFonts w:ascii="Times New Roman" w:hAnsi="Times New Roman"/>
          <w:b/>
          <w:bCs/>
        </w:rPr>
        <w:t>25</w:t>
      </w:r>
      <w:r w:rsidRPr="003C0E2F">
        <w:rPr>
          <w:rFonts w:ascii="Times New Roman" w:hAnsi="Times New Roman"/>
          <w:b/>
          <w:bCs/>
        </w:rPr>
        <w:t>. GODINU: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4323"/>
        <w:gridCol w:w="1501"/>
        <w:gridCol w:w="1501"/>
        <w:gridCol w:w="1316"/>
      </w:tblGrid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61B84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2023</w:t>
            </w:r>
            <w:r w:rsidR="00F359C7"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9C48B4" w:rsidRPr="003C0E2F">
              <w:rPr>
                <w:rFonts w:ascii="Times New Roman" w:hAnsi="Times New Roman"/>
                <w:b/>
                <w:bCs/>
              </w:rPr>
              <w:t>2</w:t>
            </w:r>
            <w:r w:rsidR="00F61B84" w:rsidRPr="003C0E2F">
              <w:rPr>
                <w:rFonts w:ascii="Times New Roman" w:hAnsi="Times New Roman"/>
                <w:b/>
                <w:bCs/>
              </w:rPr>
              <w:t>4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</w:t>
            </w:r>
            <w:r w:rsidR="009C48B4" w:rsidRPr="003C0E2F">
              <w:rPr>
                <w:rFonts w:ascii="Times New Roman" w:hAnsi="Times New Roman"/>
                <w:b/>
                <w:bCs/>
              </w:rPr>
              <w:t>02</w:t>
            </w:r>
            <w:r w:rsidR="00F61B84" w:rsidRPr="003C0E2F">
              <w:rPr>
                <w:rFonts w:ascii="Times New Roman" w:hAnsi="Times New Roman"/>
                <w:b/>
                <w:bCs/>
              </w:rPr>
              <w:t>5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5F1074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Program građenja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D4F2F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223.610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94.233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87.596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5F1074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Program prostornog planiranja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UKUPNO RAZDJEL: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D4F2F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247.634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118.257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111.620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</w:tbl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094E19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</w:p>
    <w:p w:rsidR="00DD667F" w:rsidRPr="003C0E2F" w:rsidRDefault="00DD667F" w:rsidP="00094E19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</w:p>
    <w:p w:rsidR="00F359C7" w:rsidRPr="003C0E2F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NAZIV PROGRAMA: PROGRAM GRAĐENJA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OPĆI CILJ:</w:t>
      </w:r>
      <w:r w:rsidR="005B388C" w:rsidRPr="003C0E2F">
        <w:rPr>
          <w:rFonts w:ascii="Times New Roman" w:hAnsi="Times New Roman"/>
          <w:b/>
          <w:bCs/>
        </w:rPr>
        <w:t xml:space="preserve"> </w:t>
      </w:r>
      <w:r w:rsidR="005F1074" w:rsidRPr="003C0E2F">
        <w:rPr>
          <w:rFonts w:ascii="Times New Roman" w:hAnsi="Times New Roman"/>
        </w:rPr>
        <w:t>Obavljanje poslova koji su Zakonima stavljeni u nadležnost Upravnih tijela područne samouprave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5F1074" w:rsidRPr="003C0E2F" w:rsidRDefault="00F359C7" w:rsidP="00BD5B5D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 xml:space="preserve">POSEBNI CILJ: </w:t>
      </w:r>
    </w:p>
    <w:p w:rsidR="005F1074" w:rsidRPr="003C0E2F" w:rsidRDefault="005F1074" w:rsidP="00BD5B5D">
      <w:pPr>
        <w:pStyle w:val="NoSpacing"/>
        <w:shd w:val="clear" w:color="auto" w:fill="FFFFFF"/>
        <w:jc w:val="both"/>
        <w:rPr>
          <w:rFonts w:ascii="Times New Roman" w:hAnsi="Times New Roman"/>
          <w:lang w:eastAsia="hr-HR"/>
        </w:rPr>
      </w:pPr>
      <w:r w:rsidRPr="003C0E2F">
        <w:rPr>
          <w:rFonts w:ascii="Times New Roman" w:hAnsi="Times New Roman"/>
          <w:lang w:eastAsia="hr-HR"/>
        </w:rPr>
        <w:t>Sanacija nezakonite gradnje, održavanje i razvoj sustava i baza podataka, razvoj GIS aplikacija, prostorne analize, vizualizacije te stvaranje zbirke kupoprodajnih cijena, izdavanje podataka iz iste.</w:t>
      </w:r>
    </w:p>
    <w:p w:rsidR="00F359C7" w:rsidRPr="003C0E2F" w:rsidRDefault="009A06D6" w:rsidP="005F1074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lang w:eastAsia="hr-HR"/>
        </w:rPr>
      </w:pPr>
      <w:r w:rsidRPr="003C0E2F">
        <w:rPr>
          <w:rFonts w:ascii="Times New Roman" w:hAnsi="Times New Roman"/>
          <w:b/>
          <w:lang w:eastAsia="hr-HR"/>
        </w:rPr>
        <w:t>POVEZANOST PROGRAMA SA STRATEŠKIM DOKUMENTOM</w:t>
      </w:r>
    </w:p>
    <w:p w:rsidR="009A06D6" w:rsidRPr="003C0E2F" w:rsidRDefault="00E173FD" w:rsidP="009A06D6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</w:rPr>
        <w:t xml:space="preserve">Program građenja </w:t>
      </w:r>
      <w:r w:rsidR="009A06D6" w:rsidRPr="003C0E2F">
        <w:rPr>
          <w:rFonts w:ascii="Times New Roman" w:hAnsi="Times New Roman"/>
          <w:bCs/>
        </w:rPr>
        <w:t>zajedn</w:t>
      </w:r>
      <w:r w:rsidRPr="003C0E2F">
        <w:rPr>
          <w:rFonts w:ascii="Times New Roman" w:hAnsi="Times New Roman"/>
          <w:bCs/>
        </w:rPr>
        <w:t>o sa pripadajućim aktivnostima</w:t>
      </w:r>
      <w:r w:rsidR="009A06D6" w:rsidRPr="003C0E2F">
        <w:rPr>
          <w:rFonts w:ascii="Times New Roman" w:hAnsi="Times New Roman"/>
          <w:bCs/>
        </w:rPr>
        <w:t xml:space="preserve"> u „Provedbenom programu Dubrovačko-neretvanske županije za razdoblje do 2025. godine“, iz prosinca 2021., spadaju pod cilj - </w:t>
      </w:r>
      <w:r w:rsidR="009A06D6" w:rsidRPr="003C0E2F">
        <w:rPr>
          <w:rFonts w:ascii="Times New Roman" w:hAnsi="Times New Roman"/>
          <w:bCs/>
          <w:i/>
        </w:rPr>
        <w:t>4.1. Razvoj sustava</w:t>
      </w:r>
    </w:p>
    <w:p w:rsidR="009A06D6" w:rsidRPr="003C0E2F" w:rsidRDefault="009A06D6" w:rsidP="009A06D6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  <w:i/>
        </w:rPr>
        <w:t xml:space="preserve">prostornog planiranja i upravljanja imovinom te jačanje kvalitete institucija u javnom sektoru, </w:t>
      </w:r>
      <w:r w:rsidRPr="003C0E2F">
        <w:rPr>
          <w:rFonts w:ascii="Times New Roman" w:hAnsi="Times New Roman"/>
          <w:bCs/>
        </w:rPr>
        <w:t>te mjeru</w:t>
      </w:r>
      <w:r w:rsidRPr="003C0E2F">
        <w:rPr>
          <w:rFonts w:ascii="Times New Roman" w:hAnsi="Times New Roman"/>
          <w:bCs/>
          <w:i/>
        </w:rPr>
        <w:t xml:space="preserve">  - 4.1.2. – Razvoj sustava prostornog planiranja i upravljanja imovinom.</w:t>
      </w:r>
    </w:p>
    <w:p w:rsidR="00E173FD" w:rsidRPr="003C0E2F" w:rsidRDefault="00E173FD" w:rsidP="009A06D6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</w:p>
    <w:p w:rsidR="005F1074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ZAKONSKE I DRUGE PODLOGE NA KOJIMA SE PROGRAM ZASNIVA</w:t>
      </w:r>
      <w:r w:rsidRPr="003C0E2F">
        <w:rPr>
          <w:rFonts w:ascii="Times New Roman" w:hAnsi="Times New Roman"/>
        </w:rPr>
        <w:t xml:space="preserve">: </w:t>
      </w:r>
      <w:r w:rsidR="005F1074" w:rsidRPr="003C0E2F">
        <w:rPr>
          <w:rFonts w:ascii="Times New Roman" w:hAnsi="Times New Roman"/>
        </w:rPr>
        <w:t xml:space="preserve">Zakon o prostornom uređenju, Zakon o gradnji, </w:t>
      </w:r>
      <w:r w:rsidR="009C48B4" w:rsidRPr="003C0E2F">
        <w:rPr>
          <w:rFonts w:ascii="Times New Roman" w:hAnsi="Times New Roman"/>
        </w:rPr>
        <w:t>Z</w:t>
      </w:r>
      <w:r w:rsidR="005F1074" w:rsidRPr="003C0E2F">
        <w:rPr>
          <w:rFonts w:ascii="Times New Roman" w:hAnsi="Times New Roman"/>
        </w:rPr>
        <w:t>akon o procjeni vrijednosti nekretnina</w:t>
      </w:r>
      <w:r w:rsidR="005B388C" w:rsidRPr="003C0E2F">
        <w:rPr>
          <w:rFonts w:ascii="Times New Roman" w:hAnsi="Times New Roman"/>
        </w:rPr>
        <w:t>, Zakon o postupanju s nezakonito izgrađenim zgradama</w:t>
      </w:r>
      <w:r w:rsidR="005F1074" w:rsidRPr="003C0E2F">
        <w:rPr>
          <w:rFonts w:ascii="Times New Roman" w:hAnsi="Times New Roman"/>
        </w:rPr>
        <w:t>.</w:t>
      </w:r>
    </w:p>
    <w:p w:rsidR="00F359C7" w:rsidRPr="003C0E2F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rFonts w:ascii="Times New Roman" w:hAnsi="Times New Roman"/>
        </w:rPr>
      </w:pPr>
    </w:p>
    <w:p w:rsidR="00F359C7" w:rsidRPr="003C0E2F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NOSITELJ AKTIVNOSTI:</w:t>
      </w:r>
      <w:r w:rsidR="00CE4888" w:rsidRPr="003C0E2F">
        <w:rPr>
          <w:rFonts w:ascii="Times New Roman" w:hAnsi="Times New Roman"/>
          <w:b/>
          <w:bCs/>
        </w:rPr>
        <w:t xml:space="preserve"> </w:t>
      </w:r>
      <w:r w:rsidR="005F1074" w:rsidRPr="003C0E2F">
        <w:rPr>
          <w:rFonts w:ascii="Times New Roman" w:hAnsi="Times New Roman"/>
        </w:rPr>
        <w:t>Dubrovačko-neretvanska županija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</w:rPr>
      </w:pPr>
    </w:p>
    <w:p w:rsidR="004C1494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ISHODIŠTE I POKAZATELJI NA KOJIMA SE ZASNIVAJU IZRAČUNI I OCJENE</w:t>
      </w:r>
      <w:r w:rsidR="005F1074" w:rsidRPr="003C0E2F">
        <w:rPr>
          <w:rFonts w:ascii="Times New Roman" w:hAnsi="Times New Roman"/>
          <w:b/>
          <w:bCs/>
        </w:rPr>
        <w:t xml:space="preserve"> </w:t>
      </w:r>
      <w:r w:rsidRPr="003C0E2F">
        <w:rPr>
          <w:rFonts w:ascii="Times New Roman" w:hAnsi="Times New Roman"/>
          <w:b/>
          <w:bCs/>
        </w:rPr>
        <w:t>POTREBNIH SREDSTAVA ZA PROVOĐENJE PROGRAMA:</w:t>
      </w:r>
    </w:p>
    <w:p w:rsidR="004C1494" w:rsidRPr="003C0E2F" w:rsidRDefault="004C1494" w:rsidP="00AE1A1F">
      <w:pPr>
        <w:pStyle w:val="NoSpacing"/>
        <w:shd w:val="clear" w:color="auto" w:fill="FFFFFF"/>
        <w:jc w:val="both"/>
        <w:rPr>
          <w:rFonts w:ascii="Times New Roman" w:hAnsi="Times New Roman"/>
          <w:bCs/>
        </w:rPr>
      </w:pPr>
      <w:r w:rsidRPr="003C0E2F">
        <w:rPr>
          <w:rFonts w:ascii="Times New Roman" w:hAnsi="Times New Roman"/>
          <w:bCs/>
        </w:rPr>
        <w:t>Planske veličine su određene u predloženim iznosima temeljem podataka iz prethodne proračunske godine</w:t>
      </w:r>
      <w:r w:rsidR="00570C9E" w:rsidRPr="003C0E2F">
        <w:rPr>
          <w:rFonts w:ascii="Times New Roman" w:hAnsi="Times New Roman"/>
          <w:bCs/>
        </w:rPr>
        <w:t xml:space="preserve">, </w:t>
      </w:r>
      <w:r w:rsidR="00806571" w:rsidRPr="003C0E2F">
        <w:rPr>
          <w:rFonts w:ascii="Times New Roman" w:hAnsi="Times New Roman"/>
          <w:bCs/>
        </w:rPr>
        <w:t>temeljem prenesenog viška sredstava iz prethodnih godina koje se odnose na ozakonjenje bespravno izgrađenih zgrada</w:t>
      </w:r>
      <w:r w:rsidR="00570C9E" w:rsidRPr="003C0E2F">
        <w:rPr>
          <w:rFonts w:ascii="Times New Roman" w:hAnsi="Times New Roman"/>
          <w:bCs/>
        </w:rPr>
        <w:t>, planiranu dogradnju baze prostornih planova</w:t>
      </w:r>
      <w:r w:rsidRPr="003C0E2F">
        <w:rPr>
          <w:rFonts w:ascii="Times New Roman" w:hAnsi="Times New Roman"/>
          <w:bCs/>
        </w:rPr>
        <w:t xml:space="preserve"> te uz očekivane troškove vezane uz rad procjeniteljskog povjerenstva i skupljanja podataka za uspostavu zbirke kupoprodajnih cijena.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</w:rPr>
      </w:pPr>
    </w:p>
    <w:p w:rsidR="00806571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IZVJEŠTAJ O POSTIGNUTIM CILJEVIMA I REZULTATIMA PROGRAMA TEMELJENIM NA POKAZATELJIMA USPJEŠNOSTI U PRETHODNOJ GODINI</w:t>
      </w:r>
    </w:p>
    <w:p w:rsidR="008C5F24" w:rsidRPr="003C0E2F" w:rsidRDefault="00806571" w:rsidP="008C5F24">
      <w:pPr>
        <w:jc w:val="both"/>
        <w:rPr>
          <w:sz w:val="22"/>
          <w:szCs w:val="22"/>
          <w:lang w:eastAsia="hr-HR"/>
        </w:rPr>
      </w:pPr>
      <w:r w:rsidRPr="003C0E2F">
        <w:rPr>
          <w:sz w:val="22"/>
          <w:szCs w:val="22"/>
          <w:lang w:eastAsia="hr-HR"/>
        </w:rPr>
        <w:t>Dio planiranih sredstava utrošen je na podmirivanje posebnih troškova postupaka nastalih prilikom tehničkog pregleda građevina</w:t>
      </w:r>
      <w:r w:rsidR="0022489A" w:rsidRPr="003C0E2F">
        <w:rPr>
          <w:sz w:val="22"/>
          <w:szCs w:val="22"/>
          <w:lang w:eastAsia="hr-HR"/>
        </w:rPr>
        <w:t xml:space="preserve"> te na izradu novih kartica za rad u sustavu eDozvola</w:t>
      </w:r>
      <w:r w:rsidRPr="003C0E2F">
        <w:rPr>
          <w:sz w:val="22"/>
          <w:szCs w:val="22"/>
          <w:lang w:eastAsia="hr-HR"/>
        </w:rPr>
        <w:t xml:space="preserve">. </w:t>
      </w:r>
      <w:r w:rsidR="008C5F24" w:rsidRPr="003C0E2F">
        <w:rPr>
          <w:sz w:val="22"/>
          <w:szCs w:val="22"/>
          <w:lang w:eastAsia="hr-HR"/>
        </w:rPr>
        <w:t>Aktivnost ozakonjenja</w:t>
      </w:r>
      <w:r w:rsidRPr="003C0E2F">
        <w:rPr>
          <w:sz w:val="22"/>
          <w:szCs w:val="22"/>
          <w:lang w:eastAsia="hr-HR"/>
        </w:rPr>
        <w:t xml:space="preserve"> bespravno izgrađene gradnje  izvršavala </w:t>
      </w:r>
      <w:r w:rsidR="008C5F24" w:rsidRPr="003C0E2F">
        <w:rPr>
          <w:sz w:val="22"/>
          <w:szCs w:val="22"/>
          <w:lang w:eastAsia="hr-HR"/>
        </w:rPr>
        <w:t xml:space="preserve">se </w:t>
      </w:r>
      <w:r w:rsidRPr="003C0E2F">
        <w:rPr>
          <w:sz w:val="22"/>
          <w:szCs w:val="22"/>
          <w:lang w:eastAsia="hr-HR"/>
        </w:rPr>
        <w:t>planiranom dinamikom prem</w:t>
      </w:r>
      <w:r w:rsidR="0022489A" w:rsidRPr="003C0E2F">
        <w:rPr>
          <w:sz w:val="22"/>
          <w:szCs w:val="22"/>
          <w:lang w:eastAsia="hr-HR"/>
        </w:rPr>
        <w:t>a stanju zaprimljenih predmeta.</w:t>
      </w:r>
      <w:r w:rsidRPr="003C0E2F">
        <w:rPr>
          <w:sz w:val="22"/>
          <w:szCs w:val="22"/>
          <w:lang w:eastAsia="hr-HR"/>
        </w:rPr>
        <w:t xml:space="preserve"> </w:t>
      </w:r>
      <w:r w:rsidR="008C5F24" w:rsidRPr="003C0E2F">
        <w:rPr>
          <w:sz w:val="22"/>
          <w:szCs w:val="22"/>
          <w:lang w:eastAsia="hr-HR"/>
        </w:rPr>
        <w:t>Za održavanje GIS sustava, sredstva su utrošena sukladno Ugovoru o javnoj nabavi.</w:t>
      </w:r>
    </w:p>
    <w:p w:rsidR="00806571" w:rsidRPr="003C0E2F" w:rsidRDefault="00806571" w:rsidP="008C5F24">
      <w:pPr>
        <w:jc w:val="both"/>
        <w:rPr>
          <w:bCs/>
          <w:sz w:val="22"/>
          <w:szCs w:val="22"/>
        </w:rPr>
      </w:pPr>
    </w:p>
    <w:p w:rsidR="00B2520A" w:rsidRPr="003C0E2F" w:rsidRDefault="00B2520A" w:rsidP="008C5F24">
      <w:pPr>
        <w:jc w:val="both"/>
        <w:rPr>
          <w:bCs/>
          <w:sz w:val="22"/>
          <w:szCs w:val="22"/>
        </w:rPr>
      </w:pPr>
    </w:p>
    <w:p w:rsidR="00B2520A" w:rsidRPr="003C0E2F" w:rsidRDefault="00B2520A" w:rsidP="008C5F24">
      <w:pPr>
        <w:jc w:val="both"/>
        <w:rPr>
          <w:bCs/>
          <w:sz w:val="22"/>
          <w:szCs w:val="22"/>
        </w:rPr>
      </w:pPr>
    </w:p>
    <w:p w:rsidR="00F359C7" w:rsidRPr="003C0E2F" w:rsidRDefault="00F359C7" w:rsidP="00BA7A32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820"/>
        <w:gridCol w:w="1276"/>
        <w:gridCol w:w="1275"/>
        <w:gridCol w:w="1242"/>
      </w:tblGrid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Rb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Naziv aktivnosti / projekta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23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24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25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5B388C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Dokumenti građenja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5.309,00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5.309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5.309,00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3D04BE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Ozakonjenje bespravno izgrađenih zgrada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149.286,00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19.909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13.272,00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3D04BE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3D04BE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Procjena vrijednosti nekretnina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2.654,00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2.654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2.654,00</w:t>
            </w:r>
          </w:p>
        </w:tc>
      </w:tr>
      <w:tr w:rsidR="003D04BE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3D04BE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3D04BE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Razvoj GIS sustava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66.361,00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66.361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66.361,00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Ukupno program: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3A0F7F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223.610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94.233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87.596</w:t>
            </w:r>
            <w:r w:rsidR="00570C9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</w:tbl>
    <w:p w:rsidR="00B2520A" w:rsidRPr="003C0E2F" w:rsidRDefault="00B2520A" w:rsidP="00AE1A1F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F359C7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RAZLOG ODSTUPANJA OD PROŠLOGODIŠNJIH PROJEKCIJA</w:t>
      </w:r>
      <w:r w:rsidRPr="003C0E2F">
        <w:rPr>
          <w:rFonts w:ascii="Times New Roman" w:hAnsi="Times New Roman"/>
        </w:rPr>
        <w:t xml:space="preserve">: </w:t>
      </w:r>
    </w:p>
    <w:p w:rsidR="003D04BE" w:rsidRPr="003C0E2F" w:rsidRDefault="00907B4B" w:rsidP="00417BEC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</w:rPr>
        <w:t>Temeljem viš</w:t>
      </w:r>
      <w:r w:rsidR="007A2FA5" w:rsidRPr="003C0E2F">
        <w:rPr>
          <w:rFonts w:ascii="Times New Roman" w:hAnsi="Times New Roman"/>
        </w:rPr>
        <w:t>k</w:t>
      </w:r>
      <w:r w:rsidRPr="003C0E2F">
        <w:rPr>
          <w:rFonts w:ascii="Times New Roman" w:hAnsi="Times New Roman"/>
        </w:rPr>
        <w:t>a</w:t>
      </w:r>
      <w:r w:rsidR="007A2FA5" w:rsidRPr="003C0E2F">
        <w:rPr>
          <w:rFonts w:ascii="Times New Roman" w:hAnsi="Times New Roman"/>
        </w:rPr>
        <w:t xml:space="preserve"> prenesenih sredst</w:t>
      </w:r>
      <w:r w:rsidR="00436FAC" w:rsidRPr="003C0E2F">
        <w:rPr>
          <w:rFonts w:ascii="Times New Roman" w:hAnsi="Times New Roman"/>
        </w:rPr>
        <w:t>a</w:t>
      </w:r>
      <w:r w:rsidR="007A2FA5" w:rsidRPr="003C0E2F">
        <w:rPr>
          <w:rFonts w:ascii="Times New Roman" w:hAnsi="Times New Roman"/>
        </w:rPr>
        <w:t xml:space="preserve">va iz prethodnih godina koji je nastao od naknade za zadržavanje nezakonito izgrađenih zgrada u prostoru, </w:t>
      </w:r>
      <w:r w:rsidR="006D1C74" w:rsidRPr="003C0E2F">
        <w:rPr>
          <w:rFonts w:ascii="Times New Roman" w:hAnsi="Times New Roman"/>
        </w:rPr>
        <w:t xml:space="preserve">a </w:t>
      </w:r>
      <w:r w:rsidRPr="003C0E2F">
        <w:rPr>
          <w:rFonts w:ascii="Times New Roman" w:hAnsi="Times New Roman"/>
        </w:rPr>
        <w:t xml:space="preserve">budući da </w:t>
      </w:r>
      <w:r w:rsidR="00436FAC" w:rsidRPr="003C0E2F">
        <w:rPr>
          <w:rFonts w:ascii="Times New Roman" w:hAnsi="Times New Roman"/>
        </w:rPr>
        <w:t xml:space="preserve">sredstva </w:t>
      </w:r>
      <w:r w:rsidR="00BA0646" w:rsidRPr="003C0E2F">
        <w:rPr>
          <w:rFonts w:ascii="Times New Roman" w:hAnsi="Times New Roman"/>
        </w:rPr>
        <w:t>tijekom 2022</w:t>
      </w:r>
      <w:r w:rsidRPr="003C0E2F">
        <w:rPr>
          <w:rFonts w:ascii="Times New Roman" w:hAnsi="Times New Roman"/>
        </w:rPr>
        <w:t xml:space="preserve">. godine </w:t>
      </w:r>
      <w:r w:rsidR="00436FAC" w:rsidRPr="003C0E2F">
        <w:rPr>
          <w:rFonts w:ascii="Times New Roman" w:hAnsi="Times New Roman"/>
        </w:rPr>
        <w:t xml:space="preserve">nisu u cijelosti utrošena zbog pandemije COVID-19, </w:t>
      </w:r>
      <w:r w:rsidR="007A2FA5" w:rsidRPr="003C0E2F">
        <w:rPr>
          <w:rFonts w:ascii="Times New Roman" w:hAnsi="Times New Roman"/>
        </w:rPr>
        <w:t>u planu je namjensko trošenje tih sredstava, odnosno zapošljavanje novih službenika kako bi se što efikasnije riješili preostali zahtjevi</w:t>
      </w:r>
      <w:r w:rsidR="00BA0646" w:rsidRPr="003C0E2F">
        <w:rPr>
          <w:rFonts w:ascii="Times New Roman" w:hAnsi="Times New Roman"/>
        </w:rPr>
        <w:t xml:space="preserve"> kroz 2023</w:t>
      </w:r>
      <w:r w:rsidR="00E014F2" w:rsidRPr="003C0E2F">
        <w:rPr>
          <w:rFonts w:ascii="Times New Roman" w:hAnsi="Times New Roman"/>
        </w:rPr>
        <w:t>. godinu</w:t>
      </w:r>
      <w:r w:rsidR="007A2FA5" w:rsidRPr="003C0E2F">
        <w:rPr>
          <w:rFonts w:ascii="Times New Roman" w:hAnsi="Times New Roman"/>
        </w:rPr>
        <w:t xml:space="preserve">. </w:t>
      </w:r>
      <w:r w:rsidR="00FC29CD" w:rsidRPr="003C0E2F">
        <w:rPr>
          <w:rFonts w:ascii="Times New Roman" w:hAnsi="Times New Roman"/>
        </w:rPr>
        <w:lastRenderedPageBreak/>
        <w:t>Dokumenti građenja uvećani su za 100% zbog sve većeg broja naknada za posebne troškove postupka dok su aktivnosti Procjena vrijednosti nekretnina te Razvoj GIS sustava ostale nepromijenjene.</w:t>
      </w:r>
    </w:p>
    <w:p w:rsidR="003D04BE" w:rsidRPr="003C0E2F" w:rsidRDefault="003D04BE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F359C7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DD667F" w:rsidRPr="003C0E2F" w:rsidRDefault="00DD667F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F359C7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NAZIV PROGRAM</w:t>
      </w:r>
      <w:r w:rsidR="00570C9E" w:rsidRPr="003C0E2F">
        <w:rPr>
          <w:rFonts w:ascii="Times New Roman" w:hAnsi="Times New Roman"/>
          <w:b/>
          <w:bCs/>
        </w:rPr>
        <w:t>A: PROGRAM PROSTORNOG PLANIRANJA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OPĆI CILJ:</w:t>
      </w:r>
      <w:r w:rsidR="00951FF9" w:rsidRPr="003C0E2F">
        <w:rPr>
          <w:rFonts w:ascii="Times New Roman" w:hAnsi="Times New Roman"/>
          <w:b/>
          <w:bCs/>
        </w:rPr>
        <w:t xml:space="preserve"> </w:t>
      </w:r>
      <w:r w:rsidRPr="003C0E2F">
        <w:rPr>
          <w:rFonts w:ascii="Times New Roman" w:hAnsi="Times New Roman"/>
        </w:rPr>
        <w:t>Obavljanje poslova koji su Zakonima stavljeni u nadležnost Upravnih tijela područne samouprave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 xml:space="preserve">POSEBNI CILJ: </w:t>
      </w: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lang w:eastAsia="hr-HR"/>
        </w:rPr>
      </w:pPr>
      <w:r w:rsidRPr="003C0E2F">
        <w:rPr>
          <w:rFonts w:ascii="Times New Roman" w:hAnsi="Times New Roman"/>
          <w:lang w:eastAsia="hr-HR"/>
        </w:rPr>
        <w:t>Prostorno planiranje, zaštita okoliša i održivi razvoj.</w:t>
      </w:r>
    </w:p>
    <w:p w:rsidR="00E173FD" w:rsidRPr="003C0E2F" w:rsidRDefault="00E173FD" w:rsidP="00E173FD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lang w:eastAsia="hr-HR"/>
        </w:rPr>
      </w:pPr>
      <w:r w:rsidRPr="003C0E2F">
        <w:rPr>
          <w:rFonts w:ascii="Times New Roman" w:hAnsi="Times New Roman"/>
          <w:b/>
          <w:lang w:eastAsia="hr-HR"/>
        </w:rPr>
        <w:t>POVEZANOST PROGRAMA SA STRATEŠKIM DOKUMENTOM</w:t>
      </w:r>
    </w:p>
    <w:p w:rsidR="00E173FD" w:rsidRPr="003C0E2F" w:rsidRDefault="00E173FD" w:rsidP="00E173FD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</w:rPr>
        <w:t xml:space="preserve">Program prostornog planiranja zajedno sa pripadajućim aktivnostima u „Provedbenom programu Dubrovačko-neretvanske županije za razdoblje do 2025. godine“, iz prosinca 2021., spadaju pod cilj - </w:t>
      </w:r>
      <w:r w:rsidRPr="003C0E2F">
        <w:rPr>
          <w:rFonts w:ascii="Times New Roman" w:hAnsi="Times New Roman"/>
          <w:bCs/>
          <w:i/>
        </w:rPr>
        <w:t>4.1. Razvoj sustava</w:t>
      </w:r>
    </w:p>
    <w:p w:rsidR="00E173FD" w:rsidRPr="003C0E2F" w:rsidRDefault="00E173FD" w:rsidP="00E173FD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  <w:i/>
        </w:rPr>
        <w:t xml:space="preserve">prostornog planiranja i upravljanja imovinom te jačanje kvalitete institucija u javnom sektoru, </w:t>
      </w:r>
      <w:r w:rsidRPr="003C0E2F">
        <w:rPr>
          <w:rFonts w:ascii="Times New Roman" w:hAnsi="Times New Roman"/>
          <w:bCs/>
        </w:rPr>
        <w:t>te mjeru</w:t>
      </w:r>
      <w:r w:rsidRPr="003C0E2F">
        <w:rPr>
          <w:rFonts w:ascii="Times New Roman" w:hAnsi="Times New Roman"/>
          <w:bCs/>
          <w:i/>
        </w:rPr>
        <w:t xml:space="preserve">  - 4.1.2. – Razvoj sustava prostornog planiranja i upravljanja imovinom.</w:t>
      </w:r>
    </w:p>
    <w:p w:rsidR="00E173FD" w:rsidRPr="003C0E2F" w:rsidRDefault="00E173FD" w:rsidP="0018665E">
      <w:pPr>
        <w:pStyle w:val="NoSpacing"/>
        <w:shd w:val="clear" w:color="auto" w:fill="FFFFFF"/>
        <w:jc w:val="both"/>
        <w:rPr>
          <w:rFonts w:ascii="Times New Roman" w:hAnsi="Times New Roman"/>
          <w:lang w:eastAsia="hr-HR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lang w:eastAsia="hr-HR"/>
        </w:rPr>
        <w:t xml:space="preserve"> </w:t>
      </w: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ZAKONSKE I DRUGE PODLOGE NA KOJIMA SE PROGRAM ZASNIVA</w:t>
      </w:r>
      <w:r w:rsidRPr="003C0E2F">
        <w:rPr>
          <w:rFonts w:ascii="Times New Roman" w:hAnsi="Times New Roman"/>
        </w:rPr>
        <w:t>: Zakon o prostornom uređenju, Zakon o zaštiti okoliša i Zakon o zaštiti prirode.</w:t>
      </w: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</w:rPr>
        <w:t xml:space="preserve"> </w:t>
      </w:r>
    </w:p>
    <w:p w:rsidR="0018665E" w:rsidRPr="003C0E2F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NOSITELJ AKTIVNOSTI:</w:t>
      </w:r>
      <w:r w:rsidR="00CE4888" w:rsidRPr="003C0E2F">
        <w:rPr>
          <w:rFonts w:ascii="Times New Roman" w:hAnsi="Times New Roman"/>
          <w:b/>
          <w:bCs/>
        </w:rPr>
        <w:t xml:space="preserve"> </w:t>
      </w:r>
      <w:r w:rsidRPr="003C0E2F">
        <w:rPr>
          <w:rFonts w:ascii="Times New Roman" w:hAnsi="Times New Roman"/>
        </w:rPr>
        <w:t>Dubrovačko-neretvanska županija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ISHODIŠTE I POKAZATELJI NA KOJIMA SE ZASNIVAJU IZRAČUNI I OCJENE POTREBNIH SREDSTAVA ZA PROVOĐENJE PROGRAMA:</w:t>
      </w:r>
    </w:p>
    <w:p w:rsidR="00455C3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Cs/>
        </w:rPr>
      </w:pPr>
      <w:r w:rsidRPr="003C0E2F">
        <w:rPr>
          <w:rFonts w:ascii="Times New Roman" w:hAnsi="Times New Roman"/>
          <w:bCs/>
        </w:rPr>
        <w:t xml:space="preserve">Planske veličine su određene u predloženim iznosima temeljem </w:t>
      </w:r>
      <w:r w:rsidR="00806571" w:rsidRPr="003C0E2F">
        <w:rPr>
          <w:rFonts w:ascii="Times New Roman" w:hAnsi="Times New Roman"/>
          <w:bCs/>
        </w:rPr>
        <w:t>rasp</w:t>
      </w:r>
      <w:r w:rsidR="00B47BE3" w:rsidRPr="003C0E2F">
        <w:rPr>
          <w:rFonts w:ascii="Times New Roman" w:hAnsi="Times New Roman"/>
          <w:bCs/>
        </w:rPr>
        <w:t>o</w:t>
      </w:r>
      <w:r w:rsidR="00806571" w:rsidRPr="003C0E2F">
        <w:rPr>
          <w:rFonts w:ascii="Times New Roman" w:hAnsi="Times New Roman"/>
          <w:bCs/>
        </w:rPr>
        <w:t>loživih limita planiranih za</w:t>
      </w:r>
      <w:r w:rsidR="00B47BE3" w:rsidRPr="003C0E2F">
        <w:rPr>
          <w:rFonts w:ascii="Times New Roman" w:hAnsi="Times New Roman"/>
          <w:bCs/>
        </w:rPr>
        <w:t xml:space="preserve"> izmjene i dopune Prostornog plana DNŽ kao i</w:t>
      </w:r>
      <w:r w:rsidR="00806571" w:rsidRPr="003C0E2F">
        <w:rPr>
          <w:rFonts w:ascii="Times New Roman" w:hAnsi="Times New Roman"/>
          <w:bCs/>
        </w:rPr>
        <w:t xml:space="preserve"> izradu</w:t>
      </w:r>
      <w:r w:rsidR="00455C3E" w:rsidRPr="003C0E2F">
        <w:rPr>
          <w:rFonts w:ascii="Times New Roman" w:hAnsi="Times New Roman"/>
          <w:bCs/>
        </w:rPr>
        <w:t xml:space="preserve"> </w:t>
      </w:r>
      <w:r w:rsidR="00806571" w:rsidRPr="003C0E2F">
        <w:rPr>
          <w:rFonts w:ascii="Times New Roman" w:hAnsi="Times New Roman"/>
          <w:bCs/>
        </w:rPr>
        <w:t>studije integralnog upravljanja morskim okolišem</w:t>
      </w:r>
      <w:r w:rsidR="00455C3E" w:rsidRPr="003C0E2F">
        <w:rPr>
          <w:rFonts w:ascii="Times New Roman" w:hAnsi="Times New Roman"/>
          <w:bCs/>
        </w:rPr>
        <w:t xml:space="preserve"> </w:t>
      </w:r>
      <w:r w:rsidR="00B47BE3" w:rsidRPr="003C0E2F">
        <w:rPr>
          <w:rFonts w:ascii="Times New Roman" w:hAnsi="Times New Roman"/>
          <w:bCs/>
        </w:rPr>
        <w:t>te</w:t>
      </w:r>
      <w:r w:rsidR="00570C9E" w:rsidRPr="003C0E2F">
        <w:rPr>
          <w:rFonts w:ascii="Times New Roman" w:hAnsi="Times New Roman"/>
          <w:bCs/>
        </w:rPr>
        <w:t xml:space="preserve"> strateške procjene iste studije</w:t>
      </w:r>
      <w:r w:rsidR="00806571" w:rsidRPr="003C0E2F">
        <w:rPr>
          <w:rFonts w:ascii="Times New Roman" w:hAnsi="Times New Roman"/>
          <w:bCs/>
        </w:rPr>
        <w:t xml:space="preserve">. </w:t>
      </w:r>
      <w:r w:rsidR="00455C3E" w:rsidRPr="003C0E2F">
        <w:rPr>
          <w:rFonts w:ascii="Times New Roman" w:hAnsi="Times New Roman"/>
          <w:bCs/>
        </w:rPr>
        <w:t xml:space="preserve"> 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</w:rPr>
      </w:pPr>
    </w:p>
    <w:p w:rsidR="00806571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i/>
          <w:iCs/>
        </w:rPr>
      </w:pPr>
      <w:r w:rsidRPr="003C0E2F">
        <w:rPr>
          <w:rFonts w:ascii="Times New Roman" w:hAnsi="Times New Roman"/>
          <w:b/>
          <w:bCs/>
        </w:rPr>
        <w:t>IZVJEŠTAJ O POSTIGNUTIM CILJEVIMA I REZULTATIMA PROGRAMA TEMELJENIM NA POKAZATELJIMA USPJEŠNOSTI U PRETHODNOJ GODINI</w:t>
      </w:r>
    </w:p>
    <w:p w:rsidR="0018665E" w:rsidRPr="003C0E2F" w:rsidRDefault="006D1C74" w:rsidP="0018665E">
      <w:pPr>
        <w:pStyle w:val="NoSpacing"/>
        <w:shd w:val="clear" w:color="auto" w:fill="FFFFFF"/>
        <w:jc w:val="both"/>
        <w:rPr>
          <w:rFonts w:ascii="Times New Roman" w:hAnsi="Times New Roman"/>
          <w:iCs/>
          <w:lang w:eastAsia="hr-HR"/>
        </w:rPr>
      </w:pPr>
      <w:r w:rsidRPr="003C0E2F">
        <w:rPr>
          <w:rFonts w:ascii="Times New Roman" w:hAnsi="Times New Roman"/>
          <w:iCs/>
          <w:lang w:eastAsia="hr-HR"/>
        </w:rPr>
        <w:t>Obzirom na situaciju s pandemijom COVID-19, nije se pristupalo izradi planirane studije integralnog upravljanja morskim okolišem.</w:t>
      </w:r>
    </w:p>
    <w:p w:rsidR="009C48B4" w:rsidRPr="003C0E2F" w:rsidRDefault="009C48B4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9C48B4" w:rsidRPr="003C0E2F" w:rsidRDefault="009C48B4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710"/>
        <w:gridCol w:w="1274"/>
        <w:gridCol w:w="1394"/>
        <w:gridCol w:w="1241"/>
      </w:tblGrid>
      <w:tr w:rsidR="0018665E" w:rsidRPr="003C0E2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18665E" w:rsidP="009F140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18665E" w:rsidP="009F140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9C48B4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23</w:t>
            </w:r>
            <w:r w:rsidR="0018665E"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9C48B4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202</w:t>
            </w:r>
            <w:r w:rsidR="002E1F3B" w:rsidRPr="003C0E2F">
              <w:rPr>
                <w:rFonts w:ascii="Times New Roman" w:hAnsi="Times New Roman"/>
                <w:b/>
                <w:bCs/>
              </w:rPr>
              <w:t>4</w:t>
            </w:r>
            <w:r w:rsidR="0018665E"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18665E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9C48B4" w:rsidRPr="003C0E2F">
              <w:rPr>
                <w:rFonts w:ascii="Times New Roman" w:hAnsi="Times New Roman"/>
                <w:b/>
                <w:bCs/>
              </w:rPr>
              <w:t>2</w:t>
            </w:r>
            <w:r w:rsidR="002E1F3B" w:rsidRPr="003C0E2F">
              <w:rPr>
                <w:rFonts w:ascii="Times New Roman" w:hAnsi="Times New Roman"/>
                <w:b/>
                <w:bCs/>
              </w:rPr>
              <w:t>5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18665E" w:rsidRPr="003C0E2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18665E" w:rsidP="009F1409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18665E" w:rsidP="009F140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Izmjene i dopune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17.254</w:t>
            </w:r>
            <w:r w:rsidR="00570C9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17.254</w:t>
            </w:r>
            <w:r w:rsidR="00570C9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17.254,00</w:t>
            </w:r>
          </w:p>
        </w:tc>
      </w:tr>
      <w:tr w:rsidR="0018665E" w:rsidRPr="003C0E2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18665E" w:rsidP="009F1409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570C9E" w:rsidP="009F140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Strateška procjena utjecaja na okoliš za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6.770,00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6.770,00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6.770,00</w:t>
            </w:r>
          </w:p>
        </w:tc>
      </w:tr>
      <w:tr w:rsidR="006736E2" w:rsidRPr="003C0E2F" w:rsidTr="006736E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6736E2" w:rsidP="006736E2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6736E2" w:rsidP="00CC7967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D6669A" w:rsidP="00CC7967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6736E2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D6669A" w:rsidP="00CC7967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6736E2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D6669A" w:rsidP="00CC7967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6736E2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</w:tbl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RAZLOG ODSTUPANJA OD PROŠLOGODIŠNJIH PROJEKCIJA</w:t>
      </w:r>
      <w:r w:rsidRPr="003C0E2F">
        <w:rPr>
          <w:rFonts w:ascii="Times New Roman" w:hAnsi="Times New Roman"/>
        </w:rPr>
        <w:t xml:space="preserve">: </w:t>
      </w:r>
      <w:r w:rsidR="00C254D8" w:rsidRPr="003C0E2F">
        <w:rPr>
          <w:rFonts w:ascii="Times New Roman" w:hAnsi="Times New Roman"/>
        </w:rPr>
        <w:t xml:space="preserve"> </w:t>
      </w:r>
      <w:r w:rsidR="006736E2" w:rsidRPr="003C0E2F">
        <w:rPr>
          <w:rFonts w:ascii="Times New Roman" w:hAnsi="Times New Roman"/>
        </w:rPr>
        <w:t xml:space="preserve">  </w:t>
      </w:r>
    </w:p>
    <w:p w:rsidR="0028323A" w:rsidRPr="003C0E2F" w:rsidRDefault="0028323A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</w:rPr>
        <w:t>Nema odstupanja u odnosu na prošlogodišnju projekciju.</w:t>
      </w:r>
    </w:p>
    <w:p w:rsidR="0018665E" w:rsidRPr="00BD5B5D" w:rsidRDefault="0018665E" w:rsidP="0018665E">
      <w:pPr>
        <w:pStyle w:val="NoSpacing"/>
        <w:shd w:val="clear" w:color="auto" w:fill="FFFFFF"/>
        <w:jc w:val="both"/>
      </w:pPr>
    </w:p>
    <w:p w:rsidR="00B84C4A" w:rsidRDefault="00B84C4A">
      <w:pPr>
        <w:jc w:val="left"/>
        <w:rPr>
          <w:rFonts w:ascii="Calibri" w:hAnsi="Calibri"/>
          <w:sz w:val="22"/>
          <w:szCs w:val="22"/>
        </w:rPr>
      </w:pPr>
      <w:r>
        <w:br w:type="page"/>
      </w:r>
    </w:p>
    <w:p w:rsidR="00B84C4A" w:rsidRPr="00231DDE" w:rsidRDefault="00B84C4A" w:rsidP="00B84C4A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 xml:space="preserve">NAZIV KORISNIKA: </w:t>
      </w:r>
      <w:r>
        <w:rPr>
          <w:rFonts w:asciiTheme="minorHAnsi" w:hAnsiTheme="minorHAnsi" w:cstheme="minorHAnsi"/>
          <w:b/>
          <w:bCs/>
        </w:rPr>
        <w:t>ZAVOD</w:t>
      </w:r>
      <w:r w:rsidRPr="00231DDE">
        <w:rPr>
          <w:rFonts w:asciiTheme="minorHAnsi" w:hAnsiTheme="minorHAnsi" w:cstheme="minorHAnsi"/>
          <w:b/>
          <w:bCs/>
        </w:rPr>
        <w:t xml:space="preserve"> ZA PROSTORNO UREĐENJE </w:t>
      </w:r>
      <w:r>
        <w:rPr>
          <w:rFonts w:asciiTheme="minorHAnsi" w:hAnsiTheme="minorHAnsi" w:cstheme="minorHAnsi"/>
          <w:b/>
          <w:bCs/>
        </w:rPr>
        <w:t>DUBROVAČKO-NERETVANSKE ŽUPANIJE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SAŽETAK DJELOKRUGA RADA:</w:t>
      </w:r>
    </w:p>
    <w:p w:rsidR="00B84C4A" w:rsidRPr="00231DDE" w:rsidRDefault="00B84C4A" w:rsidP="00B84C4A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231DDE">
        <w:rPr>
          <w:rFonts w:asciiTheme="minorHAnsi" w:hAnsiTheme="minorHAnsi" w:cstheme="minorHAnsi"/>
          <w:sz w:val="22"/>
          <w:szCs w:val="22"/>
          <w:lang w:val="hr-HR"/>
        </w:rPr>
        <w:t xml:space="preserve">Djelatnost Zavoda za prostorno uređenje županije, </w:t>
      </w:r>
      <w:r w:rsidRPr="00231DDE">
        <w:rPr>
          <w:rFonts w:asciiTheme="minorHAnsi" w:hAnsiTheme="minorHAnsi" w:cstheme="minorHAnsi"/>
          <w:sz w:val="22"/>
          <w:szCs w:val="22"/>
        </w:rPr>
        <w:t xml:space="preserve">sukladno članku 27. Zakona o prostornom uređenju (NN 153/13., 65/17., 114/18., 39/19. i 98/19.) </w:t>
      </w:r>
      <w:r w:rsidRPr="00231DDE">
        <w:rPr>
          <w:rFonts w:asciiTheme="minorHAnsi" w:hAnsiTheme="minorHAnsi" w:cstheme="minorHAnsi"/>
          <w:sz w:val="22"/>
          <w:szCs w:val="22"/>
          <w:lang w:val="hr-HR"/>
        </w:rPr>
        <w:t>obuhvaća osobito: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:rsidR="00B84C4A" w:rsidRPr="00231DDE" w:rsidRDefault="00B84C4A" w:rsidP="00B84C4A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84C4A" w:rsidRPr="00231DDE" w:rsidRDefault="00B84C4A" w:rsidP="00B84C4A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Zavod za prostorno uređenje županije može izrađivati i: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ORGANIZACIJSKA STRUKTURA:</w:t>
      </w:r>
    </w:p>
    <w:p w:rsidR="00B84C4A" w:rsidRPr="00231DDE" w:rsidRDefault="00B84C4A" w:rsidP="00B84C4A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ZZPUDNŽl obavlja poslove u Dubrovniku za područje cijele DNŽ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84C4A" w:rsidRPr="00231DDE" w:rsidRDefault="00B84C4A" w:rsidP="00B84C4A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:rsidR="00B84C4A" w:rsidRPr="00231DDE" w:rsidRDefault="00B84C4A" w:rsidP="00B84C4A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prostorno planiranje</w:t>
      </w:r>
    </w:p>
    <w:p w:rsidR="00B84C4A" w:rsidRDefault="00B84C4A" w:rsidP="00B84C4A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:rsidR="00B84C4A" w:rsidRPr="00231DDE" w:rsidRDefault="00B84C4A" w:rsidP="00B84C4A">
      <w:pPr>
        <w:pStyle w:val="ListParagraph"/>
        <w:numPr>
          <w:ilvl w:val="1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Pododsjekom za Integralno upravljanje obalnim područje</w:t>
      </w:r>
      <w:r>
        <w:rPr>
          <w:rFonts w:asciiTheme="minorHAnsi" w:hAnsiTheme="minorHAnsi" w:cstheme="minorHAnsi"/>
          <w:sz w:val="22"/>
          <w:szCs w:val="22"/>
        </w:rPr>
        <w:t>m.</w:t>
      </w: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FINANCIJSKI PLAN ZA 2023. – 2025. GODINU: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4323"/>
        <w:gridCol w:w="1501"/>
        <w:gridCol w:w="1501"/>
        <w:gridCol w:w="1316"/>
      </w:tblGrid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2023.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</w:tr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</w:t>
            </w:r>
            <w:r w:rsidR="00F47265">
              <w:rPr>
                <w:rFonts w:asciiTheme="minorHAnsi" w:hAnsiTheme="minorHAnsi" w:cstheme="minorHAnsi"/>
                <w:b/>
                <w:bCs/>
              </w:rPr>
              <w:t>69.726,00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</w:tr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115.674,00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</w:tr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4</w:t>
            </w:r>
            <w:r w:rsidR="00F47265">
              <w:rPr>
                <w:rFonts w:asciiTheme="minorHAnsi" w:hAnsiTheme="minorHAnsi" w:cstheme="minorHAnsi"/>
                <w:b/>
                <w:bCs/>
              </w:rPr>
              <w:t>85.400,00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381.673,0</w:t>
            </w:r>
            <w:r w:rsidR="00B84C4A" w:rsidRPr="00231DDE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381.673,00</w:t>
            </w:r>
          </w:p>
        </w:tc>
      </w:tr>
    </w:tbl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Default="00B84C4A" w:rsidP="00B84C4A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B84C4A" w:rsidRPr="00231DDE" w:rsidRDefault="00B84C4A" w:rsidP="00B84C4A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>NAZIV PROGRAMA: REDOVNA DJELATNOST ZZPUDNŽ</w:t>
      </w:r>
    </w:p>
    <w:p w:rsidR="00B84C4A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OPĆI CILJ: 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B84C4A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Program građenja zajedno s pripadajućim aktivnostima u „Provedbenom programu Dubrovačko-neretvanske županije za razdoblje do 2025. godine“, iz prosinca 2021., spadaju pod </w:t>
      </w:r>
    </w:p>
    <w:p w:rsidR="00B84C4A" w:rsidRPr="002261DA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cilj - 4.1.</w:t>
      </w:r>
      <w:r w:rsidRPr="002261DA">
        <w:rPr>
          <w:rFonts w:asciiTheme="minorHAnsi" w:hAnsiTheme="minorHAnsi" w:cstheme="minorHAnsi"/>
          <w:bCs/>
        </w:rPr>
        <w:t xml:space="preserve"> Razvoj sustava prostornog planiranja i upravljanja imovinom te jačanje kvalitete institucija u javnom sektoru, te </w:t>
      </w:r>
    </w:p>
    <w:p w:rsidR="00B84C4A" w:rsidRPr="002261DA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mjeru  - 4.1.2</w:t>
      </w:r>
      <w:r w:rsidRPr="002261DA">
        <w:rPr>
          <w:rFonts w:asciiTheme="minorHAnsi" w:hAnsiTheme="minorHAnsi" w:cstheme="minorHAnsi"/>
          <w:bCs/>
        </w:rPr>
        <w:t>. – Razvoj sustava prostornog planiranja i upravljanja imovinom.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NOSITELJ AKTIVNOSTI: </w:t>
      </w:r>
      <w:r w:rsidRPr="00231DDE">
        <w:rPr>
          <w:rFonts w:asciiTheme="minorHAnsi" w:hAnsiTheme="minorHAnsi" w:cstheme="minorHAnsi"/>
        </w:rPr>
        <w:t>Dubrovačko-neretvanska županija</w:t>
      </w:r>
      <w:r>
        <w:rPr>
          <w:rFonts w:asciiTheme="minorHAnsi" w:hAnsiTheme="minorHAnsi" w:cstheme="minorHAnsi"/>
        </w:rPr>
        <w:t xml:space="preserve"> -</w:t>
      </w:r>
      <w:r w:rsidRPr="00231DDE">
        <w:rPr>
          <w:rFonts w:asciiTheme="minorHAnsi" w:hAnsiTheme="minorHAnsi" w:cstheme="minorHAnsi"/>
        </w:rPr>
        <w:t xml:space="preserve"> Upravni odjel  za prostorno uređenje i gradnju.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Planske veličine su određene u predloženim iznosima temeljem podataka iz prethodne proračunske godine. 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B84C4A" w:rsidRPr="00231DDE" w:rsidRDefault="00B84C4A" w:rsidP="00B84C4A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Planirana sredstva utrošena su na plaće i ostale rashode za zaposlene kao i Materijalne rashode i opremu za provođenje redovitih programa Zavoda (izdavanje zahtjeva, mišljenja, ažuriranje web stranice Zavoda, obrada i slanje podataka za DPPR i ISPU itd kao i održavanje opreme, sustava elektroničkih komunikacija, rada Upravnog vijeća, računovoodstvenog servisa itd). </w:t>
      </w:r>
    </w:p>
    <w:p w:rsidR="00B84C4A" w:rsidRPr="00231DDE" w:rsidRDefault="00B84C4A" w:rsidP="00B84C4A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2023.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</w:tr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F4726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F47265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</w:tr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</w:tr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</w:tr>
    </w:tbl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RAZLOG ODSTUPANJA OD PROŠLOGODIŠNJIH PROJEKCIJA</w:t>
      </w:r>
      <w:r w:rsidRPr="00231DDE">
        <w:rPr>
          <w:rFonts w:asciiTheme="minorHAnsi" w:hAnsiTheme="minorHAnsi" w:cstheme="minorHAnsi"/>
        </w:rPr>
        <w:t xml:space="preserve">: 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</w:rPr>
        <w:t>Povećanje za zaposlenje jednog dje</w:t>
      </w:r>
      <w:r>
        <w:rPr>
          <w:rFonts w:asciiTheme="minorHAnsi" w:hAnsiTheme="minorHAnsi" w:cstheme="minorHAnsi"/>
        </w:rPr>
        <w:t>la</w:t>
      </w:r>
      <w:r w:rsidRPr="00231DDE">
        <w:rPr>
          <w:rFonts w:asciiTheme="minorHAnsi" w:hAnsiTheme="minorHAnsi" w:cstheme="minorHAnsi"/>
        </w:rPr>
        <w:t>tnika građevinske struke radi skorog (2024.) odlaska djelatnika te struke u mirovinu.</w:t>
      </w:r>
    </w:p>
    <w:p w:rsidR="00B84C4A" w:rsidRDefault="00B84C4A" w:rsidP="00B84C4A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br w:type="page"/>
      </w:r>
    </w:p>
    <w:p w:rsidR="00B84C4A" w:rsidRPr="00231DDE" w:rsidRDefault="00B84C4A" w:rsidP="00B84C4A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>NAZIV PROGRAMA: PROGRAM PROSTORNOG PLANIRANJA I ODRŽIVOG RAZVOJA</w:t>
      </w:r>
    </w:p>
    <w:p w:rsidR="00B84C4A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OPĆI CILJ: </w:t>
      </w:r>
      <w:r w:rsidRPr="00231DDE">
        <w:rPr>
          <w:rFonts w:asciiTheme="minorHAnsi" w:hAnsiTheme="minorHAnsi" w:cstheme="minorHAnsi"/>
        </w:rPr>
        <w:t>Obavljanje poslova koji su Zakonima stavljeni u nadležnost Zavoda</w:t>
      </w:r>
      <w:r>
        <w:rPr>
          <w:rFonts w:asciiTheme="minorHAnsi" w:hAnsiTheme="minorHAnsi" w:cstheme="minorHAnsi"/>
        </w:rPr>
        <w:t>.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 xml:space="preserve">POSEBNI CILJ: 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231DDE">
        <w:rPr>
          <w:rFonts w:asciiTheme="minorHAnsi" w:hAnsiTheme="minorHAnsi" w:cstheme="minorHAnsi"/>
          <w:lang w:eastAsia="hr-HR"/>
        </w:rPr>
        <w:t>Izrada Izmjena i dopuna Prostornog plana DNŽ kao provedbenog plana</w:t>
      </w:r>
      <w:r>
        <w:rPr>
          <w:rFonts w:asciiTheme="minorHAnsi" w:hAnsiTheme="minorHAnsi" w:cstheme="minorHAnsi"/>
          <w:lang w:eastAsia="hr-HR"/>
        </w:rPr>
        <w:t>, Priprema i obrada prostorno-planskih podataka s područja DNŽ za Informacijski sustav prostornog uređenja RH (</w:t>
      </w:r>
      <w:r w:rsidRPr="00231DDE">
        <w:rPr>
          <w:rFonts w:asciiTheme="minorHAnsi" w:hAnsiTheme="minorHAnsi" w:cstheme="minorHAnsi"/>
          <w:lang w:eastAsia="hr-HR"/>
        </w:rPr>
        <w:t xml:space="preserve">održavanje </w:t>
      </w:r>
      <w:r>
        <w:rPr>
          <w:rFonts w:asciiTheme="minorHAnsi" w:hAnsiTheme="minorHAnsi" w:cstheme="minorHAnsi"/>
          <w:lang w:eastAsia="hr-HR"/>
        </w:rPr>
        <w:t xml:space="preserve">web </w:t>
      </w:r>
      <w:r w:rsidRPr="00231DDE">
        <w:rPr>
          <w:rFonts w:asciiTheme="minorHAnsi" w:hAnsiTheme="minorHAnsi" w:cstheme="minorHAnsi"/>
          <w:lang w:eastAsia="hr-HR"/>
        </w:rPr>
        <w:t>stranice</w:t>
      </w:r>
      <w:r>
        <w:rPr>
          <w:rFonts w:asciiTheme="minorHAnsi" w:hAnsiTheme="minorHAnsi" w:cstheme="minorHAnsi"/>
          <w:lang w:eastAsia="hr-HR"/>
        </w:rPr>
        <w:t xml:space="preserve"> ISPU), Obrada i dostava prostorno planskih podataka s područja DNŽ za izradu Državnog plana prostornog razvoja (DPPR), </w:t>
      </w:r>
      <w:r w:rsidRPr="00231DDE">
        <w:rPr>
          <w:rFonts w:asciiTheme="minorHAnsi" w:hAnsiTheme="minorHAnsi" w:cstheme="minorHAnsi"/>
          <w:lang w:eastAsia="hr-HR"/>
        </w:rPr>
        <w:t>Izrada Prostornog plana NP Mljet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231DDE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>stručno-analitičkih poslova u sklopu pripremnih radova za izradu Prostornog plana područja Isključivog gospodarskog pojasa (IGP) RH u Jadranskom moru.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 prostornog planiranja i upravljanja imovinom te jačanje kvalitete institucija u javnom sektoru, te mjeru  - 4.1.2. – Razvoj sustava prostornog planiranja i upravljanja imovinom.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NOSITELJ AKTIVNOSTI: </w:t>
      </w:r>
      <w:r w:rsidRPr="00231DDE">
        <w:rPr>
          <w:rFonts w:asciiTheme="minorHAnsi" w:hAnsiTheme="minorHAnsi" w:cstheme="minorHAnsi"/>
        </w:rPr>
        <w:t>Dubrovačko-neretvanska županija - Upravni odjel za prostorno uređenje i gradnju i Republika Hrvatska – Ministarstvo prostornog uređenja, gradnje i državne imovine</w:t>
      </w:r>
      <w:r>
        <w:rPr>
          <w:rFonts w:asciiTheme="minorHAnsi" w:hAnsiTheme="minorHAnsi" w:cstheme="minorHAnsi"/>
        </w:rPr>
        <w:t>.</w:t>
      </w: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Planske veličine su određene u predloženim iznosima temeljem raspoloživih limita planiranih za </w:t>
      </w:r>
    </w:p>
    <w:p w:rsidR="00B84C4A" w:rsidRPr="00231DDE" w:rsidRDefault="00B84C4A" w:rsidP="00B84C4A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izmjene i dopune Prostornog plana DNŽ (DNŽ)</w:t>
      </w:r>
    </w:p>
    <w:p w:rsidR="00B84C4A" w:rsidRPr="00231DDE" w:rsidRDefault="00B84C4A" w:rsidP="00B84C4A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Prostorni plan NP Mljet i </w:t>
      </w:r>
      <w:r>
        <w:rPr>
          <w:rFonts w:asciiTheme="minorHAnsi" w:hAnsiTheme="minorHAnsi" w:cstheme="minorHAnsi"/>
          <w:bCs/>
        </w:rPr>
        <w:t xml:space="preserve">Stručno-analitička podloga za </w:t>
      </w:r>
      <w:r w:rsidRPr="00231DDE">
        <w:rPr>
          <w:rFonts w:asciiTheme="minorHAnsi" w:hAnsiTheme="minorHAnsi" w:cstheme="minorHAnsi"/>
          <w:bCs/>
        </w:rPr>
        <w:t>IGP (MPGI)</w:t>
      </w:r>
    </w:p>
    <w:p w:rsidR="00B84C4A" w:rsidRPr="00231DDE" w:rsidRDefault="00B84C4A" w:rsidP="00B84C4A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ISPU i DPPR (MPGI)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231DDE">
        <w:rPr>
          <w:rFonts w:asciiTheme="minorHAnsi" w:hAnsiTheme="minorHAnsi" w:cstheme="minorHAnsi"/>
          <w:lang w:eastAsia="hr-HR"/>
        </w:rPr>
        <w:t>Donošenje Izvješća o stanju u prostoru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231DDE">
        <w:rPr>
          <w:rFonts w:asciiTheme="minorHAnsi" w:hAnsiTheme="minorHAnsi" w:cstheme="minorHAnsi"/>
          <w:lang w:eastAsia="hr-HR"/>
        </w:rPr>
        <w:t>Donošenje Odluke o izradi IDPPDNŽ i izrada Plana,</w:t>
      </w:r>
      <w:r>
        <w:rPr>
          <w:rFonts w:asciiTheme="minorHAnsi" w:hAnsiTheme="minorHAnsi" w:cstheme="minorHAnsi"/>
          <w:lang w:eastAsia="hr-HR"/>
        </w:rPr>
        <w:t xml:space="preserve"> </w:t>
      </w:r>
      <w:r w:rsidRPr="00231DDE">
        <w:rPr>
          <w:rFonts w:asciiTheme="minorHAnsi" w:hAnsiTheme="minorHAnsi" w:cstheme="minorHAnsi"/>
          <w:lang w:eastAsia="hr-HR"/>
        </w:rPr>
        <w:t>Naručivanje Revizije/izrada novog Plana korištenja OIE DNŽ za potrebe IDPPDNŽ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231DDE">
        <w:rPr>
          <w:rFonts w:asciiTheme="minorHAnsi" w:hAnsiTheme="minorHAnsi" w:cstheme="minorHAnsi"/>
          <w:lang w:eastAsia="hr-HR"/>
        </w:rPr>
        <w:t>Izrada K</w:t>
      </w:r>
      <w:r>
        <w:rPr>
          <w:rFonts w:asciiTheme="minorHAnsi" w:hAnsiTheme="minorHAnsi" w:cstheme="minorHAnsi"/>
          <w:lang w:eastAsia="hr-HR"/>
        </w:rPr>
        <w:t>onačnog prijedloga</w:t>
      </w:r>
      <w:r w:rsidRPr="00231DDE">
        <w:rPr>
          <w:rFonts w:asciiTheme="minorHAnsi" w:hAnsiTheme="minorHAnsi" w:cstheme="minorHAnsi"/>
          <w:lang w:eastAsia="hr-HR"/>
        </w:rPr>
        <w:t xml:space="preserve"> PP NP Mljet</w:t>
      </w:r>
      <w:r>
        <w:rPr>
          <w:rFonts w:asciiTheme="minorHAnsi" w:hAnsiTheme="minorHAnsi" w:cstheme="minorHAnsi"/>
          <w:lang w:eastAsia="hr-HR"/>
        </w:rPr>
        <w:t xml:space="preserve"> i </w:t>
      </w:r>
      <w:r w:rsidRPr="00231DDE">
        <w:rPr>
          <w:rFonts w:asciiTheme="minorHAnsi" w:hAnsiTheme="minorHAnsi" w:cstheme="minorHAnsi"/>
          <w:lang w:eastAsia="hr-HR"/>
        </w:rPr>
        <w:t xml:space="preserve">Dovršetak izrade </w:t>
      </w:r>
      <w:r>
        <w:rPr>
          <w:rFonts w:asciiTheme="minorHAnsi" w:hAnsiTheme="minorHAnsi" w:cstheme="minorHAnsi"/>
          <w:bCs/>
        </w:rPr>
        <w:t xml:space="preserve">Stručno-analitičke podloge za </w:t>
      </w:r>
      <w:r w:rsidRPr="00231DDE">
        <w:rPr>
          <w:rFonts w:asciiTheme="minorHAnsi" w:hAnsiTheme="minorHAnsi" w:cstheme="minorHAnsi"/>
          <w:lang w:eastAsia="hr-HR"/>
        </w:rPr>
        <w:t>IGP</w:t>
      </w:r>
      <w:r>
        <w:rPr>
          <w:rFonts w:asciiTheme="minorHAnsi" w:hAnsiTheme="minorHAnsi" w:cstheme="minorHAnsi"/>
          <w:lang w:eastAsia="hr-HR"/>
        </w:rPr>
        <w:t>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710"/>
        <w:gridCol w:w="1274"/>
        <w:gridCol w:w="1394"/>
        <w:gridCol w:w="1241"/>
      </w:tblGrid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2023.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34.841,00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6.638,00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6.638,00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15.265,00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60.259,00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ISPU i DPPR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115.674,00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</w:tr>
    </w:tbl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RAZLOG ODSTUPANJA OD PROŠLOGODIŠNJIH PROJEKCIJA</w:t>
      </w:r>
      <w:r w:rsidRPr="00231DDE">
        <w:rPr>
          <w:rFonts w:asciiTheme="minorHAnsi" w:hAnsiTheme="minorHAnsi" w:cstheme="minorHAnsi"/>
        </w:rPr>
        <w:t xml:space="preserve">:    </w:t>
      </w:r>
    </w:p>
    <w:p w:rsidR="00B84C4A" w:rsidRPr="00231DDE" w:rsidRDefault="00B84C4A" w:rsidP="00B84C4A">
      <w:pPr>
        <w:pStyle w:val="NoSpacing"/>
        <w:numPr>
          <w:ilvl w:val="0"/>
          <w:numId w:val="6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</w:rPr>
        <w:t xml:space="preserve">Nositelj izrade DNŽ je </w:t>
      </w:r>
      <w:r>
        <w:rPr>
          <w:rFonts w:asciiTheme="minorHAnsi" w:hAnsiTheme="minorHAnsi" w:cstheme="minorHAnsi"/>
        </w:rPr>
        <w:t xml:space="preserve">tek krajem 2022. </w:t>
      </w:r>
      <w:r w:rsidRPr="00231DDE">
        <w:rPr>
          <w:rFonts w:asciiTheme="minorHAnsi" w:hAnsiTheme="minorHAnsi" w:cstheme="minorHAnsi"/>
        </w:rPr>
        <w:t>odlučio da se krene u izradu IDPPŽ</w:t>
      </w:r>
      <w:r>
        <w:rPr>
          <w:rFonts w:asciiTheme="minorHAnsi" w:hAnsiTheme="minorHAnsi" w:cstheme="minorHAnsi"/>
        </w:rPr>
        <w:t>,</w:t>
      </w:r>
    </w:p>
    <w:p w:rsidR="005D46EA" w:rsidRPr="00F47265" w:rsidRDefault="00B84C4A" w:rsidP="00F47265">
      <w:pPr>
        <w:pStyle w:val="NoSpacing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 w:rsidRPr="00B84C4A">
        <w:rPr>
          <w:rFonts w:asciiTheme="minorHAnsi" w:hAnsiTheme="minorHAnsi" w:cstheme="minorHAnsi"/>
        </w:rPr>
        <w:t>PP NP Mljet nije dovršen jer se nisu stekli uvjeti (Stručna podloga zaštite prirode isporečena tek u drugoj polovici 2022. godine).</w:t>
      </w:r>
    </w:p>
    <w:sectPr w:rsidR="005D46EA" w:rsidRPr="00F47265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09" w:rsidRDefault="00EA0009" w:rsidP="00BD5B5D">
      <w:r>
        <w:separator/>
      </w:r>
    </w:p>
  </w:endnote>
  <w:endnote w:type="continuationSeparator" w:id="0">
    <w:p w:rsidR="00EA0009" w:rsidRDefault="00EA0009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09" w:rsidRDefault="00EA0009" w:rsidP="00BD5B5D">
      <w:r>
        <w:separator/>
      </w:r>
    </w:p>
  </w:footnote>
  <w:footnote w:type="continuationSeparator" w:id="0">
    <w:p w:rsidR="00EA0009" w:rsidRDefault="00EA0009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D4F"/>
    <w:multiLevelType w:val="hybridMultilevel"/>
    <w:tmpl w:val="E1C287AE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E92"/>
    <w:rsid w:val="00003420"/>
    <w:rsid w:val="00050214"/>
    <w:rsid w:val="00094022"/>
    <w:rsid w:val="00094E19"/>
    <w:rsid w:val="000A4036"/>
    <w:rsid w:val="000C4B66"/>
    <w:rsid w:val="000E7126"/>
    <w:rsid w:val="001151D9"/>
    <w:rsid w:val="0011710E"/>
    <w:rsid w:val="0018665E"/>
    <w:rsid w:val="0022489A"/>
    <w:rsid w:val="0028323A"/>
    <w:rsid w:val="002A7DB5"/>
    <w:rsid w:val="002D44F0"/>
    <w:rsid w:val="002D4882"/>
    <w:rsid w:val="002E1F3B"/>
    <w:rsid w:val="002F0467"/>
    <w:rsid w:val="002F052A"/>
    <w:rsid w:val="00322895"/>
    <w:rsid w:val="003A0001"/>
    <w:rsid w:val="003A0F7F"/>
    <w:rsid w:val="003C0E2F"/>
    <w:rsid w:val="003C3045"/>
    <w:rsid w:val="003D04BE"/>
    <w:rsid w:val="003D2337"/>
    <w:rsid w:val="003D7583"/>
    <w:rsid w:val="003E4307"/>
    <w:rsid w:val="00404E29"/>
    <w:rsid w:val="00417BEC"/>
    <w:rsid w:val="00435CDE"/>
    <w:rsid w:val="00436FAC"/>
    <w:rsid w:val="00455C3E"/>
    <w:rsid w:val="00483051"/>
    <w:rsid w:val="004C1494"/>
    <w:rsid w:val="004D5498"/>
    <w:rsid w:val="004F6855"/>
    <w:rsid w:val="005103E9"/>
    <w:rsid w:val="00513F4C"/>
    <w:rsid w:val="0051630A"/>
    <w:rsid w:val="005617FE"/>
    <w:rsid w:val="00570C9E"/>
    <w:rsid w:val="005B36AD"/>
    <w:rsid w:val="005B388C"/>
    <w:rsid w:val="005D46EA"/>
    <w:rsid w:val="005F1074"/>
    <w:rsid w:val="00631A61"/>
    <w:rsid w:val="00636C40"/>
    <w:rsid w:val="00655478"/>
    <w:rsid w:val="00661205"/>
    <w:rsid w:val="006736E2"/>
    <w:rsid w:val="006C62C5"/>
    <w:rsid w:val="006D1C74"/>
    <w:rsid w:val="006D4F2F"/>
    <w:rsid w:val="007655F1"/>
    <w:rsid w:val="007A2FA5"/>
    <w:rsid w:val="00806571"/>
    <w:rsid w:val="0081590C"/>
    <w:rsid w:val="00816F9E"/>
    <w:rsid w:val="008863DE"/>
    <w:rsid w:val="00896B7E"/>
    <w:rsid w:val="008A377B"/>
    <w:rsid w:val="008C3B97"/>
    <w:rsid w:val="008C5F24"/>
    <w:rsid w:val="008E0883"/>
    <w:rsid w:val="008E3B25"/>
    <w:rsid w:val="00907B4B"/>
    <w:rsid w:val="00951FF9"/>
    <w:rsid w:val="00962E92"/>
    <w:rsid w:val="00971142"/>
    <w:rsid w:val="009728AC"/>
    <w:rsid w:val="009A06D6"/>
    <w:rsid w:val="009A7462"/>
    <w:rsid w:val="009C48B4"/>
    <w:rsid w:val="009F1409"/>
    <w:rsid w:val="009F305F"/>
    <w:rsid w:val="00AB79CE"/>
    <w:rsid w:val="00AE1A1F"/>
    <w:rsid w:val="00B2520A"/>
    <w:rsid w:val="00B343C0"/>
    <w:rsid w:val="00B47BE3"/>
    <w:rsid w:val="00B733DA"/>
    <w:rsid w:val="00B84C4A"/>
    <w:rsid w:val="00BA0646"/>
    <w:rsid w:val="00BA394C"/>
    <w:rsid w:val="00BA52BC"/>
    <w:rsid w:val="00BA7A32"/>
    <w:rsid w:val="00BD5B5D"/>
    <w:rsid w:val="00BE5695"/>
    <w:rsid w:val="00C1481B"/>
    <w:rsid w:val="00C254D8"/>
    <w:rsid w:val="00C326BA"/>
    <w:rsid w:val="00C5721C"/>
    <w:rsid w:val="00CB3F8F"/>
    <w:rsid w:val="00CB4FD1"/>
    <w:rsid w:val="00CB75E5"/>
    <w:rsid w:val="00CE4888"/>
    <w:rsid w:val="00D6669A"/>
    <w:rsid w:val="00DD667F"/>
    <w:rsid w:val="00DE42E1"/>
    <w:rsid w:val="00E014F2"/>
    <w:rsid w:val="00E173FD"/>
    <w:rsid w:val="00E77041"/>
    <w:rsid w:val="00E83AF0"/>
    <w:rsid w:val="00EA0009"/>
    <w:rsid w:val="00F359C7"/>
    <w:rsid w:val="00F47265"/>
    <w:rsid w:val="00F61B84"/>
    <w:rsid w:val="00F66669"/>
    <w:rsid w:val="00F771B2"/>
    <w:rsid w:val="00FC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E9066D1-37D4-481D-A2AC-448C4B59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B84C4A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B84C4A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B8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2067</Words>
  <Characters>11783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Windows User</cp:lastModifiedBy>
  <cp:revision>5</cp:revision>
  <cp:lastPrinted>2022-10-19T06:59:00Z</cp:lastPrinted>
  <dcterms:created xsi:type="dcterms:W3CDTF">2022-11-11T12:05:00Z</dcterms:created>
  <dcterms:modified xsi:type="dcterms:W3CDTF">2022-11-14T09:37:00Z</dcterms:modified>
</cp:coreProperties>
</file>