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91A5E" w14:textId="77777777" w:rsidR="00606624" w:rsidRPr="00606624" w:rsidRDefault="00606624" w:rsidP="00D40235">
      <w:pPr>
        <w:widowControl w:val="0"/>
        <w:tabs>
          <w:tab w:val="left" w:pos="831"/>
          <w:tab w:val="left" w:pos="832"/>
        </w:tabs>
        <w:autoSpaceDE w:val="0"/>
        <w:autoSpaceDN w:val="0"/>
        <w:spacing w:before="127" w:after="0" w:line="240" w:lineRule="auto"/>
        <w:ind w:firstLine="284"/>
        <w:jc w:val="both"/>
        <w:outlineLvl w:val="1"/>
        <w:rPr>
          <w:rFonts w:ascii="Calibri" w:eastAsia="Calibri" w:hAnsi="Calibri" w:cs="Calibri"/>
          <w:b/>
          <w:bCs/>
          <w:kern w:val="0"/>
          <w:sz w:val="24"/>
          <w:szCs w:val="24"/>
          <w:lang w:eastAsia="hr-HR" w:bidi="hr-HR"/>
          <w14:ligatures w14:val="none"/>
        </w:rPr>
      </w:pPr>
      <w:r w:rsidRPr="00606624">
        <w:rPr>
          <w:rFonts w:ascii="Calibri" w:eastAsia="Calibri" w:hAnsi="Calibri" w:cs="Calibri"/>
          <w:b/>
          <w:bCs/>
          <w:kern w:val="0"/>
          <w:sz w:val="24"/>
          <w:szCs w:val="24"/>
          <w:lang w:eastAsia="hr-HR" w:bidi="hr-HR"/>
          <w14:ligatures w14:val="none"/>
        </w:rPr>
        <w:t>KRITERIJ ZA ODABIR</w:t>
      </w:r>
      <w:r w:rsidRPr="00606624">
        <w:rPr>
          <w:rFonts w:ascii="Calibri" w:eastAsia="Calibri" w:hAnsi="Calibri" w:cs="Calibri"/>
          <w:b/>
          <w:bCs/>
          <w:spacing w:val="-4"/>
          <w:kern w:val="0"/>
          <w:sz w:val="24"/>
          <w:szCs w:val="24"/>
          <w:lang w:eastAsia="hr-HR" w:bidi="hr-HR"/>
          <w14:ligatures w14:val="none"/>
        </w:rPr>
        <w:t xml:space="preserve"> </w:t>
      </w:r>
      <w:r w:rsidRPr="00606624">
        <w:rPr>
          <w:rFonts w:ascii="Calibri" w:eastAsia="Calibri" w:hAnsi="Calibri" w:cs="Calibri"/>
          <w:b/>
          <w:bCs/>
          <w:kern w:val="0"/>
          <w:sz w:val="24"/>
          <w:szCs w:val="24"/>
          <w:lang w:eastAsia="hr-HR" w:bidi="hr-HR"/>
          <w14:ligatures w14:val="none"/>
        </w:rPr>
        <w:t>PONUDE</w:t>
      </w:r>
    </w:p>
    <w:p w14:paraId="05D56CB5" w14:textId="77777777" w:rsidR="00606624" w:rsidRPr="00606624" w:rsidRDefault="00606624" w:rsidP="00606624">
      <w:pPr>
        <w:widowControl w:val="0"/>
        <w:autoSpaceDE w:val="0"/>
        <w:autoSpaceDN w:val="0"/>
        <w:spacing w:before="127" w:after="0" w:line="244" w:lineRule="auto"/>
        <w:ind w:left="252" w:right="285"/>
        <w:jc w:val="both"/>
        <w:rPr>
          <w:rFonts w:ascii="Calibri" w:eastAsia="Calibri" w:hAnsi="Calibri" w:cs="Calibri"/>
          <w:kern w:val="0"/>
          <w:sz w:val="15"/>
          <w:szCs w:val="24"/>
          <w:lang w:eastAsia="hr-HR" w:bidi="hr-HR"/>
          <w14:ligatures w14:val="none"/>
        </w:rPr>
      </w:pPr>
      <w:r w:rsidRPr="00606624">
        <w:rPr>
          <w:rFonts w:ascii="Calibri" w:eastAsia="Calibri" w:hAnsi="Calibri" w:cs="Calibri"/>
          <w:kern w:val="0"/>
          <w:sz w:val="24"/>
          <w:szCs w:val="24"/>
          <w:lang w:eastAsia="hr-HR" w:bidi="hr-HR"/>
          <w14:ligatures w14:val="none"/>
        </w:rPr>
        <w:t>Ugovor o javnoj nabavi sklopiti će se s ponuditeljem koji dostavi najbolje ocjenjenu ponudu prema kriteriju ekonomski najpovoljnije ponude.</w:t>
      </w:r>
    </w:p>
    <w:p w14:paraId="67B80616" w14:textId="77777777" w:rsidR="00606624" w:rsidRPr="00606624" w:rsidRDefault="00606624" w:rsidP="00606624">
      <w:pPr>
        <w:widowControl w:val="0"/>
        <w:autoSpaceDE w:val="0"/>
        <w:autoSpaceDN w:val="0"/>
        <w:spacing w:before="51" w:after="0" w:line="240" w:lineRule="auto"/>
        <w:ind w:left="252"/>
        <w:rPr>
          <w:rFonts w:ascii="Calibri" w:eastAsia="Calibri" w:hAnsi="Calibri" w:cs="Calibri"/>
          <w:b/>
          <w:kern w:val="0"/>
          <w:sz w:val="24"/>
          <w:lang w:eastAsia="hr-HR" w:bidi="hr-HR"/>
          <w14:ligatures w14:val="none"/>
        </w:rPr>
      </w:pPr>
    </w:p>
    <w:p w14:paraId="19CE6BE3" w14:textId="77777777" w:rsidR="00606624" w:rsidRPr="00606624" w:rsidRDefault="00606624" w:rsidP="00606624">
      <w:pPr>
        <w:keepNext/>
        <w:widowControl w:val="0"/>
        <w:autoSpaceDE w:val="0"/>
        <w:autoSpaceDN w:val="0"/>
        <w:spacing w:before="127" w:after="120" w:line="240" w:lineRule="auto"/>
        <w:ind w:left="249"/>
        <w:outlineLvl w:val="1"/>
        <w:rPr>
          <w:rFonts w:ascii="Calibri" w:eastAsia="Calibri" w:hAnsi="Calibri" w:cs="Calibri"/>
          <w:b/>
          <w:bCs/>
          <w:kern w:val="0"/>
          <w:sz w:val="24"/>
          <w:szCs w:val="24"/>
          <w:lang w:eastAsia="hr-HR" w:bidi="hr-HR"/>
          <w14:ligatures w14:val="none"/>
        </w:rPr>
      </w:pPr>
      <w:r w:rsidRPr="00606624">
        <w:rPr>
          <w:rFonts w:ascii="Calibri" w:eastAsia="Calibri" w:hAnsi="Calibri" w:cs="Calibri"/>
          <w:b/>
          <w:bCs/>
          <w:kern w:val="0"/>
          <w:sz w:val="24"/>
          <w:szCs w:val="24"/>
          <w:lang w:eastAsia="hr-HR" w:bidi="hr-HR"/>
          <w14:ligatures w14:val="none"/>
        </w:rPr>
        <w:t>KRITERIJI ZA ODABIR EKONOMSKI NAJPOVOLJNIJE PONUDE I NJIHOV RELATIVAN ZNAČAJ</w:t>
      </w:r>
    </w:p>
    <w:p w14:paraId="1F0D9A8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Kriterij odabira ponude je ekonomski najpovoljnija ponuda (ENP).</w:t>
      </w:r>
    </w:p>
    <w:p w14:paraId="67EE6703"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Ekonomski najpovoljnija ponuda je osnova za odabir i kvalitetno ugovaranje kompetentnih ponuditelja.</w:t>
      </w:r>
    </w:p>
    <w:p w14:paraId="3FF2D7D9"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Naručitelj će između prihvatljivih ponuda sposobnih Ponuditelja odabrati ekonomski najpovoljniju ponudu na temelju sljedećih kriterija: Specifično stručno iskustvo stručnjaka i Cijena ponude, a čiji je relativni značaj prikazan u tablici:</w:t>
      </w:r>
    </w:p>
    <w:tbl>
      <w:tblPr>
        <w:tblW w:w="5000" w:type="pct"/>
        <w:tblLayout w:type="fixed"/>
        <w:tblLook w:val="0000" w:firstRow="0" w:lastRow="0" w:firstColumn="0" w:lastColumn="0" w:noHBand="0" w:noVBand="0"/>
      </w:tblPr>
      <w:tblGrid>
        <w:gridCol w:w="885"/>
        <w:gridCol w:w="1030"/>
        <w:gridCol w:w="5076"/>
        <w:gridCol w:w="1012"/>
        <w:gridCol w:w="1013"/>
      </w:tblGrid>
      <w:tr w:rsidR="00606624" w:rsidRPr="00606624" w14:paraId="27290029" w14:textId="77777777" w:rsidTr="005A13C1">
        <w:trPr>
          <w:trHeight w:val="496"/>
        </w:trPr>
        <w:tc>
          <w:tcPr>
            <w:tcW w:w="491" w:type="pct"/>
            <w:tcBorders>
              <w:top w:val="single" w:sz="4" w:space="0" w:color="000000"/>
              <w:left w:val="single" w:sz="4" w:space="0" w:color="000000"/>
              <w:bottom w:val="single" w:sz="4" w:space="0" w:color="000000"/>
            </w:tcBorders>
            <w:shd w:val="clear" w:color="auto" w:fill="B8CCE4"/>
            <w:vAlign w:val="center"/>
          </w:tcPr>
          <w:p w14:paraId="624F800A"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bCs/>
                <w:kern w:val="0"/>
                <w:sz w:val="18"/>
                <w:szCs w:val="18"/>
                <w14:ligatures w14:val="none"/>
              </w:rPr>
            </w:pPr>
            <w:r w:rsidRPr="00606624">
              <w:rPr>
                <w:rFonts w:ascii="Calibri" w:eastAsia="Times New Roman" w:hAnsi="Calibri" w:cs="Calibri"/>
                <w:b/>
                <w:bCs/>
                <w:kern w:val="0"/>
                <w:sz w:val="18"/>
                <w:szCs w:val="18"/>
                <w14:ligatures w14:val="none"/>
              </w:rPr>
              <w:t>R.br.</w:t>
            </w:r>
          </w:p>
        </w:tc>
        <w:tc>
          <w:tcPr>
            <w:tcW w:w="57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EEFE22A"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Kratica kriterija</w:t>
            </w:r>
          </w:p>
        </w:tc>
        <w:tc>
          <w:tcPr>
            <w:tcW w:w="2815" w:type="pct"/>
            <w:tcBorders>
              <w:top w:val="single" w:sz="4" w:space="0" w:color="000000"/>
              <w:left w:val="single" w:sz="4" w:space="0" w:color="000000"/>
              <w:bottom w:val="single" w:sz="4" w:space="0" w:color="000000"/>
            </w:tcBorders>
            <w:shd w:val="clear" w:color="auto" w:fill="B8CCE4"/>
            <w:vAlign w:val="center"/>
          </w:tcPr>
          <w:p w14:paraId="73C439A0"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Kriterij</w:t>
            </w:r>
          </w:p>
        </w:tc>
        <w:tc>
          <w:tcPr>
            <w:tcW w:w="56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49E39D32"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Max. broj bodova</w:t>
            </w:r>
          </w:p>
        </w:tc>
        <w:tc>
          <w:tcPr>
            <w:tcW w:w="562"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3C125A8F"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Relativni ponder</w:t>
            </w:r>
          </w:p>
        </w:tc>
      </w:tr>
      <w:tr w:rsidR="00606624" w:rsidRPr="00606624" w14:paraId="6C35FA81" w14:textId="77777777" w:rsidTr="005A13C1">
        <w:trPr>
          <w:trHeight w:val="649"/>
        </w:trPr>
        <w:tc>
          <w:tcPr>
            <w:tcW w:w="491" w:type="pct"/>
            <w:tcBorders>
              <w:top w:val="single" w:sz="4" w:space="0" w:color="000000"/>
              <w:left w:val="single" w:sz="4" w:space="0" w:color="000000"/>
              <w:bottom w:val="single" w:sz="4" w:space="0" w:color="000000"/>
            </w:tcBorders>
            <w:vAlign w:val="center"/>
          </w:tcPr>
          <w:p w14:paraId="6AF7E10F"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1.</w:t>
            </w:r>
          </w:p>
        </w:tc>
        <w:tc>
          <w:tcPr>
            <w:tcW w:w="571" w:type="pct"/>
            <w:tcBorders>
              <w:top w:val="single" w:sz="4" w:space="0" w:color="000000"/>
              <w:left w:val="single" w:sz="4" w:space="0" w:color="000000"/>
              <w:bottom w:val="single" w:sz="4" w:space="0" w:color="000000"/>
              <w:right w:val="single" w:sz="4" w:space="0" w:color="000000"/>
            </w:tcBorders>
            <w:vAlign w:val="center"/>
          </w:tcPr>
          <w:p w14:paraId="4281F72F"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KCP</w:t>
            </w:r>
          </w:p>
        </w:tc>
        <w:tc>
          <w:tcPr>
            <w:tcW w:w="2815" w:type="pct"/>
            <w:tcBorders>
              <w:top w:val="single" w:sz="4" w:space="0" w:color="000000"/>
              <w:left w:val="single" w:sz="4" w:space="0" w:color="000000"/>
              <w:bottom w:val="single" w:sz="4" w:space="0" w:color="000000"/>
            </w:tcBorders>
            <w:vAlign w:val="center"/>
          </w:tcPr>
          <w:p w14:paraId="0EF48DEF"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kern w:val="0"/>
                <w14:ligatures w14:val="none"/>
              </w:rPr>
            </w:pPr>
            <w:r w:rsidRPr="00606624">
              <w:rPr>
                <w:rFonts w:ascii="Calibri" w:eastAsia="Times New Roman" w:hAnsi="Calibri" w:cs="Calibri"/>
                <w:b/>
                <w:bCs/>
                <w:kern w:val="0"/>
                <w14:ligatures w14:val="none"/>
              </w:rPr>
              <w:t>Cijena ponude</w:t>
            </w:r>
          </w:p>
        </w:tc>
        <w:tc>
          <w:tcPr>
            <w:tcW w:w="561" w:type="pct"/>
            <w:tcBorders>
              <w:top w:val="single" w:sz="4" w:space="0" w:color="000000"/>
              <w:left w:val="single" w:sz="4" w:space="0" w:color="000000"/>
              <w:bottom w:val="single" w:sz="4" w:space="0" w:color="000000"/>
              <w:right w:val="single" w:sz="4" w:space="0" w:color="000000"/>
            </w:tcBorders>
            <w:vAlign w:val="center"/>
          </w:tcPr>
          <w:p w14:paraId="56F5C4B7"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60,00</w:t>
            </w:r>
          </w:p>
        </w:tc>
        <w:tc>
          <w:tcPr>
            <w:tcW w:w="562" w:type="pct"/>
            <w:tcBorders>
              <w:top w:val="single" w:sz="4" w:space="0" w:color="000000"/>
              <w:left w:val="single" w:sz="4" w:space="0" w:color="000000"/>
              <w:bottom w:val="single" w:sz="4" w:space="0" w:color="000000"/>
              <w:right w:val="single" w:sz="4" w:space="0" w:color="000000"/>
            </w:tcBorders>
            <w:vAlign w:val="center"/>
          </w:tcPr>
          <w:p w14:paraId="2D8897D8"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60%</w:t>
            </w:r>
          </w:p>
        </w:tc>
      </w:tr>
      <w:tr w:rsidR="00606624" w:rsidRPr="00606624" w14:paraId="0EEECF69" w14:textId="77777777" w:rsidTr="005A13C1">
        <w:trPr>
          <w:trHeight w:val="699"/>
        </w:trPr>
        <w:tc>
          <w:tcPr>
            <w:tcW w:w="491" w:type="pct"/>
            <w:tcBorders>
              <w:top w:val="single" w:sz="4" w:space="0" w:color="000000"/>
              <w:left w:val="single" w:sz="4" w:space="0" w:color="000000"/>
              <w:bottom w:val="single" w:sz="4" w:space="0" w:color="000000"/>
            </w:tcBorders>
            <w:vAlign w:val="center"/>
          </w:tcPr>
          <w:p w14:paraId="6DD81A2D"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2.1.</w:t>
            </w:r>
          </w:p>
        </w:tc>
        <w:tc>
          <w:tcPr>
            <w:tcW w:w="571" w:type="pct"/>
            <w:tcBorders>
              <w:top w:val="single" w:sz="4" w:space="0" w:color="000000"/>
              <w:left w:val="single" w:sz="4" w:space="0" w:color="000000"/>
              <w:bottom w:val="single" w:sz="4" w:space="0" w:color="000000"/>
              <w:right w:val="single" w:sz="4" w:space="0" w:color="000000"/>
            </w:tcBorders>
            <w:vAlign w:val="center"/>
          </w:tcPr>
          <w:p w14:paraId="16711F2B"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IS1</w:t>
            </w:r>
          </w:p>
        </w:tc>
        <w:tc>
          <w:tcPr>
            <w:tcW w:w="2815" w:type="pct"/>
            <w:tcBorders>
              <w:top w:val="single" w:sz="4" w:space="0" w:color="000000"/>
              <w:left w:val="single" w:sz="4" w:space="0" w:color="000000"/>
              <w:bottom w:val="single" w:sz="4" w:space="0" w:color="000000"/>
            </w:tcBorders>
            <w:vAlign w:val="center"/>
          </w:tcPr>
          <w:p w14:paraId="0CC580FA"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kern w:val="0"/>
                <w14:ligatures w14:val="none"/>
              </w:rPr>
            </w:pPr>
            <w:r w:rsidRPr="00606624">
              <w:rPr>
                <w:rFonts w:ascii="Calibri" w:eastAsia="Times New Roman" w:hAnsi="Calibri" w:cs="Calibri"/>
                <w:b/>
                <w:bCs/>
                <w:color w:val="000000"/>
                <w:kern w:val="0"/>
                <w:lang w:eastAsia="hr-HR"/>
                <w14:ligatures w14:val="none"/>
              </w:rPr>
              <w:t xml:space="preserve">Specifično stručno iskustvo  Stručnjaka 1. </w:t>
            </w:r>
          </w:p>
        </w:tc>
        <w:tc>
          <w:tcPr>
            <w:tcW w:w="561" w:type="pct"/>
            <w:tcBorders>
              <w:top w:val="single" w:sz="4" w:space="0" w:color="000000"/>
              <w:left w:val="single" w:sz="4" w:space="0" w:color="000000"/>
              <w:bottom w:val="single" w:sz="4" w:space="0" w:color="000000"/>
              <w:right w:val="single" w:sz="4" w:space="0" w:color="000000"/>
            </w:tcBorders>
            <w:vAlign w:val="center"/>
          </w:tcPr>
          <w:p w14:paraId="0FF1ADD2"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20,00</w:t>
            </w:r>
          </w:p>
        </w:tc>
        <w:tc>
          <w:tcPr>
            <w:tcW w:w="562" w:type="pct"/>
            <w:tcBorders>
              <w:top w:val="single" w:sz="4" w:space="0" w:color="000000"/>
              <w:left w:val="single" w:sz="4" w:space="0" w:color="000000"/>
              <w:bottom w:val="single" w:sz="4" w:space="0" w:color="000000"/>
              <w:right w:val="single" w:sz="4" w:space="0" w:color="000000"/>
            </w:tcBorders>
            <w:vAlign w:val="center"/>
          </w:tcPr>
          <w:p w14:paraId="45A61134"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w:t>
            </w:r>
          </w:p>
        </w:tc>
      </w:tr>
      <w:tr w:rsidR="00606624" w:rsidRPr="00606624" w14:paraId="44CF8EDE" w14:textId="77777777" w:rsidTr="005A13C1">
        <w:trPr>
          <w:trHeight w:val="607"/>
        </w:trPr>
        <w:tc>
          <w:tcPr>
            <w:tcW w:w="491" w:type="pct"/>
            <w:tcBorders>
              <w:top w:val="single" w:sz="4" w:space="0" w:color="000000"/>
              <w:left w:val="single" w:sz="4" w:space="0" w:color="000000"/>
              <w:bottom w:val="single" w:sz="4" w:space="0" w:color="000000"/>
            </w:tcBorders>
            <w:vAlign w:val="center"/>
          </w:tcPr>
          <w:p w14:paraId="7A97A89C"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2.2.</w:t>
            </w:r>
          </w:p>
        </w:tc>
        <w:tc>
          <w:tcPr>
            <w:tcW w:w="571" w:type="pct"/>
            <w:tcBorders>
              <w:top w:val="single" w:sz="4" w:space="0" w:color="000000"/>
              <w:left w:val="single" w:sz="4" w:space="0" w:color="000000"/>
              <w:bottom w:val="single" w:sz="4" w:space="0" w:color="000000"/>
              <w:right w:val="single" w:sz="4" w:space="0" w:color="000000"/>
            </w:tcBorders>
            <w:vAlign w:val="center"/>
          </w:tcPr>
          <w:p w14:paraId="272C7517"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IS2</w:t>
            </w:r>
          </w:p>
        </w:tc>
        <w:tc>
          <w:tcPr>
            <w:tcW w:w="2815" w:type="pct"/>
            <w:tcBorders>
              <w:top w:val="single" w:sz="4" w:space="0" w:color="000000"/>
              <w:left w:val="single" w:sz="4" w:space="0" w:color="000000"/>
              <w:bottom w:val="single" w:sz="4" w:space="0" w:color="000000"/>
            </w:tcBorders>
            <w:vAlign w:val="center"/>
          </w:tcPr>
          <w:p w14:paraId="6F94B61D"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color w:val="000000"/>
                <w:kern w:val="0"/>
                <w:lang w:eastAsia="hr-HR"/>
                <w14:ligatures w14:val="none"/>
              </w:rPr>
            </w:pPr>
            <w:r w:rsidRPr="00606624">
              <w:rPr>
                <w:rFonts w:ascii="Calibri" w:eastAsia="Times New Roman" w:hAnsi="Calibri" w:cs="Calibri"/>
                <w:b/>
                <w:bCs/>
                <w:color w:val="000000"/>
                <w:kern w:val="0"/>
                <w:lang w:eastAsia="hr-HR"/>
                <w14:ligatures w14:val="none"/>
              </w:rPr>
              <w:t>Specifično stručno iskustvo Stručnjaka 2.</w:t>
            </w:r>
          </w:p>
        </w:tc>
        <w:tc>
          <w:tcPr>
            <w:tcW w:w="561" w:type="pct"/>
            <w:tcBorders>
              <w:top w:val="single" w:sz="4" w:space="0" w:color="000000"/>
              <w:left w:val="single" w:sz="4" w:space="0" w:color="000000"/>
              <w:bottom w:val="single" w:sz="4" w:space="0" w:color="000000"/>
              <w:right w:val="single" w:sz="4" w:space="0" w:color="000000"/>
            </w:tcBorders>
            <w:vAlign w:val="center"/>
          </w:tcPr>
          <w:p w14:paraId="371B70AB"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20,00</w:t>
            </w:r>
          </w:p>
        </w:tc>
        <w:tc>
          <w:tcPr>
            <w:tcW w:w="562" w:type="pct"/>
            <w:tcBorders>
              <w:top w:val="single" w:sz="4" w:space="0" w:color="000000"/>
              <w:left w:val="single" w:sz="4" w:space="0" w:color="000000"/>
              <w:bottom w:val="single" w:sz="4" w:space="0" w:color="000000"/>
              <w:right w:val="single" w:sz="4" w:space="0" w:color="000000"/>
            </w:tcBorders>
            <w:vAlign w:val="center"/>
          </w:tcPr>
          <w:p w14:paraId="32BE2CF5"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w:t>
            </w:r>
          </w:p>
        </w:tc>
      </w:tr>
      <w:tr w:rsidR="00606624" w:rsidRPr="00606624" w14:paraId="32890773" w14:textId="77777777" w:rsidTr="00606624">
        <w:trPr>
          <w:trHeight w:val="509"/>
        </w:trPr>
        <w:tc>
          <w:tcPr>
            <w:tcW w:w="491" w:type="pct"/>
            <w:tcBorders>
              <w:top w:val="single" w:sz="4" w:space="0" w:color="000000"/>
              <w:left w:val="single" w:sz="4" w:space="0" w:color="000000"/>
              <w:bottom w:val="single" w:sz="4" w:space="0" w:color="000000"/>
            </w:tcBorders>
            <w:shd w:val="clear" w:color="auto" w:fill="DBE5F1"/>
            <w:vAlign w:val="center"/>
          </w:tcPr>
          <w:p w14:paraId="69A8A8A6"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kern w:val="0"/>
                <w14:ligatures w14:val="none"/>
              </w:rPr>
            </w:pPr>
          </w:p>
        </w:tc>
        <w:tc>
          <w:tcPr>
            <w:tcW w:w="571" w:type="pct"/>
            <w:tcBorders>
              <w:top w:val="single" w:sz="4" w:space="0" w:color="000000"/>
              <w:left w:val="single" w:sz="4" w:space="0" w:color="000000"/>
              <w:bottom w:val="single" w:sz="4" w:space="0" w:color="000000"/>
              <w:right w:val="single" w:sz="4" w:space="0" w:color="000000"/>
            </w:tcBorders>
            <w:shd w:val="clear" w:color="auto" w:fill="DBE5F1"/>
            <w:vAlign w:val="center"/>
          </w:tcPr>
          <w:p w14:paraId="065AC585" w14:textId="77777777" w:rsidR="00606624" w:rsidRPr="00606624" w:rsidRDefault="00606624" w:rsidP="00606624">
            <w:pPr>
              <w:autoSpaceDE w:val="0"/>
              <w:autoSpaceDN w:val="0"/>
              <w:adjustRightInd w:val="0"/>
              <w:spacing w:after="200" w:line="276"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T</w:t>
            </w:r>
          </w:p>
        </w:tc>
        <w:tc>
          <w:tcPr>
            <w:tcW w:w="2815" w:type="pct"/>
            <w:tcBorders>
              <w:top w:val="single" w:sz="4" w:space="0" w:color="000000"/>
              <w:left w:val="single" w:sz="4" w:space="0" w:color="000000"/>
              <w:bottom w:val="single" w:sz="4" w:space="0" w:color="000000"/>
            </w:tcBorders>
            <w:shd w:val="clear" w:color="auto" w:fill="DBE5F1"/>
            <w:vAlign w:val="center"/>
          </w:tcPr>
          <w:p w14:paraId="6358314B" w14:textId="77777777" w:rsidR="00606624" w:rsidRPr="00606624" w:rsidRDefault="00606624" w:rsidP="00606624">
            <w:pPr>
              <w:autoSpaceDE w:val="0"/>
              <w:autoSpaceDN w:val="0"/>
              <w:adjustRightInd w:val="0"/>
              <w:spacing w:after="200" w:line="276" w:lineRule="auto"/>
              <w:ind w:right="34"/>
              <w:rPr>
                <w:rFonts w:ascii="Calibri" w:eastAsia="Times New Roman" w:hAnsi="Calibri" w:cs="Calibri"/>
                <w:b/>
                <w:kern w:val="0"/>
                <w14:ligatures w14:val="none"/>
              </w:rPr>
            </w:pPr>
            <w:r w:rsidRPr="00606624">
              <w:rPr>
                <w:rFonts w:ascii="Calibri" w:eastAsia="Times New Roman" w:hAnsi="Calibri" w:cs="Calibri"/>
                <w:b/>
                <w:kern w:val="0"/>
                <w14:ligatures w14:val="none"/>
              </w:rPr>
              <w:t>Ukupan broj bodova (KCP+IS1+IS2)</w:t>
            </w:r>
          </w:p>
        </w:tc>
        <w:tc>
          <w:tcPr>
            <w:tcW w:w="1123"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4967EA01" w14:textId="77777777" w:rsidR="00606624" w:rsidRPr="00606624" w:rsidRDefault="00606624" w:rsidP="00606624">
            <w:pPr>
              <w:tabs>
                <w:tab w:val="left" w:pos="868"/>
              </w:tabs>
              <w:autoSpaceDE w:val="0"/>
              <w:autoSpaceDN w:val="0"/>
              <w:adjustRightInd w:val="0"/>
              <w:spacing w:after="200" w:line="276"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100</w:t>
            </w:r>
          </w:p>
        </w:tc>
      </w:tr>
    </w:tbl>
    <w:p w14:paraId="4DEF8D82"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7A14A00C"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044CD4D0"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S obzirom na to da Naručitelj ne može koristiti pravo na pretporez, uspoređivat će se cijene ponuda s PDV-om.</w:t>
      </w:r>
    </w:p>
    <w:p w14:paraId="128CEB22"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Ekonomski najpovoljnija ponuda je ponuda s najvećim brojem bodova.</w:t>
      </w:r>
    </w:p>
    <w:p w14:paraId="43253A56"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Ukupna ocjena ponude dobiva se kao suma bodova dobivenih po svim kriterijima:</w:t>
      </w:r>
    </w:p>
    <w:p w14:paraId="063BDDEC" w14:textId="77777777" w:rsidR="00606624" w:rsidRPr="00606624" w:rsidRDefault="00606624" w:rsidP="00606624">
      <w:pPr>
        <w:tabs>
          <w:tab w:val="left" w:pos="680"/>
          <w:tab w:val="left" w:pos="9781"/>
        </w:tabs>
        <w:suppressAutoHyphens/>
        <w:spacing w:after="120" w:line="240" w:lineRule="auto"/>
        <w:ind w:left="249" w:right="284"/>
        <w:jc w:val="center"/>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T</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 KCP</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 </w:t>
      </w:r>
      <w:bookmarkStart w:id="0" w:name="_Hlk154564099"/>
      <w:r w:rsidRPr="00606624">
        <w:rPr>
          <w:rFonts w:ascii="Calibri" w:eastAsia="Times New Roman" w:hAnsi="Calibri" w:cs="Calibri"/>
          <w:b/>
          <w:kern w:val="0"/>
          <w:sz w:val="24"/>
          <w:szCs w:val="24"/>
          <w14:ligatures w14:val="none"/>
        </w:rPr>
        <w:t>IS1</w:t>
      </w:r>
      <w:r w:rsidRPr="00606624">
        <w:rPr>
          <w:rFonts w:ascii="Calibri" w:eastAsia="Times New Roman" w:hAnsi="Calibri" w:cs="Calibri"/>
          <w:b/>
          <w:kern w:val="0"/>
          <w:sz w:val="24"/>
          <w:szCs w:val="24"/>
          <w:vertAlign w:val="subscript"/>
          <w14:ligatures w14:val="none"/>
        </w:rPr>
        <w:t>n</w:t>
      </w:r>
      <w:bookmarkEnd w:id="0"/>
      <w:r w:rsidRPr="00606624">
        <w:rPr>
          <w:rFonts w:ascii="Calibri" w:eastAsia="Times New Roman" w:hAnsi="Calibri" w:cs="Calibri"/>
          <w:b/>
          <w:kern w:val="0"/>
          <w:sz w:val="24"/>
          <w:szCs w:val="24"/>
          <w14:ligatures w14:val="none"/>
        </w:rPr>
        <w:t>+ IS2</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w:t>
      </w:r>
    </w:p>
    <w:p w14:paraId="41BD50B2"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pri čemu je:</w:t>
      </w:r>
    </w:p>
    <w:p w14:paraId="16CD8BB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 – broj ponude</w:t>
      </w:r>
    </w:p>
    <w:p w14:paraId="6675B728"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T</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w:t>
      </w:r>
    </w:p>
    <w:p w14:paraId="4D0064E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KCP</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 za udio cijene</w:t>
      </w:r>
    </w:p>
    <w:p w14:paraId="232BD6EC"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bookmarkStart w:id="1" w:name="_Hlk154564112"/>
      <w:r w:rsidRPr="00606624">
        <w:rPr>
          <w:rFonts w:ascii="Calibri" w:eastAsia="Times New Roman" w:hAnsi="Calibri" w:cs="Calibri"/>
          <w:bCs/>
          <w:kern w:val="0"/>
          <w:sz w:val="24"/>
          <w:szCs w:val="24"/>
          <w14:ligatures w14:val="none"/>
        </w:rPr>
        <w:t>IS1</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 za Specifično iskustvo Stručnjaka 1.</w:t>
      </w:r>
      <w:bookmarkEnd w:id="1"/>
    </w:p>
    <w:p w14:paraId="63E0EFE1"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IS2</w:t>
      </w:r>
      <w:r w:rsidRPr="00606624">
        <w:rPr>
          <w:rFonts w:ascii="Calibri" w:eastAsia="Times New Roman" w:hAnsi="Calibri" w:cs="Calibri"/>
          <w:bCs/>
          <w:kern w:val="0"/>
          <w:sz w:val="24"/>
          <w:szCs w:val="24"/>
          <w:vertAlign w:val="subscript"/>
          <w14:ligatures w14:val="none"/>
        </w:rPr>
        <w:t xml:space="preserve">n </w:t>
      </w:r>
      <w:r w:rsidRPr="00606624">
        <w:rPr>
          <w:rFonts w:ascii="Calibri" w:eastAsia="Times New Roman" w:hAnsi="Calibri" w:cs="Calibri"/>
          <w:bCs/>
          <w:kern w:val="0"/>
          <w:sz w:val="24"/>
          <w:szCs w:val="24"/>
          <w14:ligatures w14:val="none"/>
        </w:rPr>
        <w:t>- ukupan broj bodova n-te ponude za Specifično iskustvo Stručnjaka 2.</w:t>
      </w:r>
    </w:p>
    <w:p w14:paraId="475F63E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p>
    <w:p w14:paraId="3188749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lastRenderedPageBreak/>
        <w:t>Naručitelj će odabrati samo jednu, ekonomski najpovoljniju ponudu, odnosno prihvatljivu ponudu s najvećim ukupnim brojem bodova.</w:t>
      </w:r>
    </w:p>
    <w:p w14:paraId="5AEE100F"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Izračun bodova po pojedinim kriterijima vršit će se na sljedeći način:</w:t>
      </w:r>
    </w:p>
    <w:p w14:paraId="79EB00A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47856534"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1.Cjenovni kriterij (cijena - KCP)</w:t>
      </w:r>
    </w:p>
    <w:p w14:paraId="63886803"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Maksimalan broj bodova koji gospodarski subjekt može ostvariti prema ovom kriteriju je 60 bodova. Valjana ponuda s najnižom cijenom dobit će maksimalan broj bodova. Bodovna vrijednost ostalih valjanih ponuda izračunava se prema sljedećoj formuli:</w:t>
      </w:r>
    </w:p>
    <w:p w14:paraId="030B190E" w14:textId="77777777" w:rsidR="00606624" w:rsidRPr="00606624" w:rsidRDefault="00606624" w:rsidP="00606624">
      <w:pPr>
        <w:spacing w:before="60" w:after="0" w:line="240" w:lineRule="auto"/>
        <w:jc w:val="center"/>
        <w:rPr>
          <w:rFonts w:ascii="Calibri" w:eastAsia="Calibri" w:hAnsi="Calibri" w:cs="Calibri"/>
          <w:b/>
          <w:kern w:val="0"/>
          <w:lang w:eastAsia="hr-HR"/>
          <w14:ligatures w14:val="none"/>
        </w:rPr>
      </w:pPr>
      <w:r w:rsidRPr="00606624">
        <w:rPr>
          <w:rFonts w:ascii="Calibri" w:eastAsia="Calibri" w:hAnsi="Calibri" w:cs="Calibri"/>
          <w:b/>
          <w:kern w:val="0"/>
          <w:lang w:eastAsia="hr-HR"/>
          <w14:ligatures w14:val="none"/>
        </w:rPr>
        <w:t>KCP=CP</w:t>
      </w:r>
      <w:r w:rsidRPr="00606624">
        <w:rPr>
          <w:rFonts w:ascii="Calibri" w:eastAsia="Calibri" w:hAnsi="Calibri" w:cs="Calibri"/>
          <w:b/>
          <w:kern w:val="0"/>
          <w:vertAlign w:val="subscript"/>
          <w:lang w:eastAsia="hr-HR"/>
          <w14:ligatures w14:val="none"/>
        </w:rPr>
        <w:t>min</w:t>
      </w:r>
      <w:r w:rsidRPr="00606624">
        <w:rPr>
          <w:rFonts w:ascii="Calibri" w:eastAsia="Calibri" w:hAnsi="Calibri" w:cs="Calibri"/>
          <w:b/>
          <w:kern w:val="0"/>
          <w:lang w:eastAsia="hr-HR"/>
          <w14:ligatures w14:val="none"/>
        </w:rPr>
        <w:t>/CP</w:t>
      </w:r>
      <w:r w:rsidRPr="00606624">
        <w:rPr>
          <w:rFonts w:ascii="Calibri" w:eastAsia="Calibri" w:hAnsi="Calibri" w:cs="Calibri"/>
          <w:b/>
          <w:kern w:val="0"/>
          <w:vertAlign w:val="subscript"/>
          <w:lang w:eastAsia="hr-HR"/>
          <w14:ligatures w14:val="none"/>
        </w:rPr>
        <w:t>o</w:t>
      </w:r>
      <w:r w:rsidRPr="00606624">
        <w:rPr>
          <w:rFonts w:ascii="Calibri" w:eastAsia="Calibri" w:hAnsi="Calibri" w:cs="Calibri"/>
          <w:b/>
          <w:kern w:val="0"/>
          <w:lang w:eastAsia="hr-HR"/>
          <w14:ligatures w14:val="none"/>
        </w:rPr>
        <w:t>x60</w:t>
      </w:r>
    </w:p>
    <w:p w14:paraId="5BCCD905" w14:textId="77777777" w:rsidR="00606624" w:rsidRPr="00606624" w:rsidRDefault="00606624" w:rsidP="00606624">
      <w:pPr>
        <w:spacing w:before="60" w:after="0" w:line="240" w:lineRule="auto"/>
        <w:ind w:firstLine="284"/>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Gdje je:</w:t>
      </w:r>
    </w:p>
    <w:p w14:paraId="5CAE71BA"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 xml:space="preserve">KCP      </w:t>
      </w:r>
      <w:r w:rsidRPr="00606624">
        <w:rPr>
          <w:rFonts w:ascii="Calibri" w:eastAsia="Calibri" w:hAnsi="Calibri" w:cs="Calibri"/>
          <w:kern w:val="0"/>
          <w:lang w:eastAsia="hr-HR"/>
          <w14:ligatures w14:val="none"/>
        </w:rPr>
        <w:tab/>
        <w:t xml:space="preserve"> = cijena ponude (zaokružena na dvije decimale)</w:t>
      </w:r>
    </w:p>
    <w:p w14:paraId="2B4DE668"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CP</w:t>
      </w:r>
      <w:r w:rsidRPr="00606624">
        <w:rPr>
          <w:rFonts w:ascii="Calibri" w:eastAsia="Calibri" w:hAnsi="Calibri" w:cs="Calibri"/>
          <w:kern w:val="0"/>
          <w:vertAlign w:val="subscript"/>
          <w:lang w:eastAsia="hr-HR"/>
          <w14:ligatures w14:val="none"/>
        </w:rPr>
        <w:t>min</w:t>
      </w:r>
      <w:r w:rsidRPr="00606624">
        <w:rPr>
          <w:rFonts w:ascii="Calibri" w:eastAsia="Calibri" w:hAnsi="Calibri" w:cs="Calibri"/>
          <w:kern w:val="0"/>
          <w:lang w:eastAsia="hr-HR"/>
          <w14:ligatures w14:val="none"/>
        </w:rPr>
        <w:tab/>
        <w:t>= cijena ponude sa najnižom cijenom</w:t>
      </w:r>
    </w:p>
    <w:p w14:paraId="668CE498"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CP</w:t>
      </w:r>
      <w:r w:rsidRPr="00606624">
        <w:rPr>
          <w:rFonts w:ascii="Calibri" w:eastAsia="Calibri" w:hAnsi="Calibri" w:cs="Calibri"/>
          <w:kern w:val="0"/>
          <w:vertAlign w:val="subscript"/>
          <w:lang w:eastAsia="hr-HR"/>
          <w14:ligatures w14:val="none"/>
        </w:rPr>
        <w:t>o</w:t>
      </w:r>
      <w:r w:rsidRPr="00606624">
        <w:rPr>
          <w:rFonts w:ascii="Calibri" w:eastAsia="Calibri" w:hAnsi="Calibri" w:cs="Calibri"/>
          <w:kern w:val="0"/>
          <w:lang w:eastAsia="hr-HR"/>
          <w14:ligatures w14:val="none"/>
        </w:rPr>
        <w:tab/>
        <w:t>= cijena ponude koja se ocjenjuje</w:t>
      </w:r>
    </w:p>
    <w:p w14:paraId="462A79A1" w14:textId="77777777" w:rsidR="00606624" w:rsidRPr="00606624" w:rsidRDefault="00606624" w:rsidP="00606624">
      <w:pPr>
        <w:spacing w:before="60" w:after="0" w:line="240" w:lineRule="auto"/>
        <w:ind w:left="720"/>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60       = najviši ostvarivi iznos kriterija</w:t>
      </w:r>
    </w:p>
    <w:p w14:paraId="6688EA3B" w14:textId="77777777" w:rsidR="00606624" w:rsidRPr="00606624" w:rsidRDefault="00606624" w:rsidP="00606624">
      <w:pPr>
        <w:spacing w:before="60" w:after="0" w:line="240" w:lineRule="auto"/>
        <w:ind w:left="709"/>
        <w:jc w:val="both"/>
        <w:rPr>
          <w:rFonts w:ascii="Arial" w:eastAsia="Calibri" w:hAnsi="Arial" w:cs="Arial"/>
          <w:kern w:val="0"/>
          <w:sz w:val="10"/>
          <w:szCs w:val="10"/>
          <w:lang w:eastAsia="hr-HR"/>
          <w14:ligatures w14:val="none"/>
        </w:rPr>
      </w:pPr>
    </w:p>
    <w:p w14:paraId="2D8EC3FC"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59015943"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23CA3A74"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20314930"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1DD17022"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bookmarkStart w:id="2" w:name="_Hlk153285220"/>
      <w:r w:rsidRPr="00606624">
        <w:rPr>
          <w:rFonts w:ascii="Calibri" w:eastAsia="Times New Roman" w:hAnsi="Calibri" w:cs="Calibri"/>
          <w:b/>
          <w:kern w:val="0"/>
          <w:sz w:val="24"/>
          <w:szCs w:val="24"/>
          <w:u w:val="single"/>
          <w14:ligatures w14:val="none"/>
        </w:rPr>
        <w:t>2.Necjenovni kriterij  - Specifično iskustvo Stručnjaka</w:t>
      </w:r>
    </w:p>
    <w:p w14:paraId="06C79CF3"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Naručitelj kao kriterijo dređuje specifično znanje i iskustvo ključnih stručnjaka. Naručitelj traži dokaz da ključni stručnjaci imaju iskustvo u provođenju projekata iz domene Projektnog zadatka u sklopu ove Dokumentacije o nabavi.Samo oni ključni stručnjaci koji će zadovoljiti minimalne uvjete definirane u točki 3.3.3.2. ove dokumentacije o nabavi će biti uzeti u obzir za dodjeljivanje bodova prema kriterijima za odabir ekonomski najpovoljnijeponude.</w:t>
      </w:r>
    </w:p>
    <w:p w14:paraId="32DCCC87"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Napominje se da sukladno odredbama ove Dokumentacije o nabavi (točka 3.3.3.2.) Stručnjak 1. može istodobno biti nadzorni inženjer za određenu vrstu radova ukoliko udovoljava uvjete sukladno posebnim propisima. U tom slučaju, specifično iskustvo kojim se dokazuje ispunjenje jednog od kriterija za odabir ponude ne može se koristiti u drugom kriteriju za odabir ponude.</w:t>
      </w:r>
    </w:p>
    <w:p w14:paraId="5B9F1E00" w14:textId="77777777" w:rsidR="00606624" w:rsidRPr="00606624" w:rsidRDefault="00606624" w:rsidP="00606624">
      <w:pPr>
        <w:widowControl w:val="0"/>
        <w:autoSpaceDE w:val="0"/>
        <w:autoSpaceDN w:val="0"/>
        <w:spacing w:after="0" w:line="240" w:lineRule="auto"/>
        <w:rPr>
          <w:rFonts w:ascii="Calibri" w:eastAsia="Times New Roman" w:hAnsi="Calibri" w:cs="Calibri"/>
          <w:b/>
          <w:kern w:val="0"/>
          <w:sz w:val="24"/>
          <w:szCs w:val="24"/>
          <w:u w:val="single"/>
          <w14:ligatures w14:val="none"/>
        </w:rPr>
      </w:pPr>
      <w:r w:rsidRPr="00606624">
        <w:rPr>
          <w:rFonts w:ascii="Calibri" w:eastAsia="Calibri" w:hAnsi="Calibri" w:cs="Calibri"/>
          <w:b/>
          <w:bCs/>
          <w:kern w:val="0"/>
          <w:sz w:val="24"/>
          <w:szCs w:val="24"/>
          <w:u w:val="single"/>
          <w:lang w:eastAsia="hr-HR" w:bidi="hr-HR"/>
          <w14:ligatures w14:val="none"/>
        </w:rPr>
        <w:br w:type="page"/>
      </w:r>
    </w:p>
    <w:p w14:paraId="024EC05E"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6"/>
          <w:szCs w:val="6"/>
          <w:u w:val="single"/>
          <w14:ligatures w14:val="none"/>
        </w:rPr>
      </w:pPr>
    </w:p>
    <w:p w14:paraId="22368BE0"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2.1.Necjenovni kriterij  - Specifično iskustvo Stručnjaka 1. (IS1)</w:t>
      </w:r>
      <w:bookmarkEnd w:id="2"/>
    </w:p>
    <w:p w14:paraId="21A0CCEC"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Naručitelj kao jedan od kriterija za odabir ekonomski najpovoljnije ponude određuje iskustvo Stručnjaka 1.</w:t>
      </w:r>
      <w:r w:rsidRPr="00606624">
        <w:rPr>
          <w:rFonts w:ascii="Calibri" w:eastAsia="Calibri" w:hAnsi="Calibri" w:cs="Calibri"/>
          <w:kern w:val="0"/>
          <w:lang w:eastAsia="hr-HR" w:bidi="hr-HR"/>
          <w14:ligatures w14:val="none"/>
        </w:rPr>
        <w:t xml:space="preserve"> </w:t>
      </w:r>
      <w:r w:rsidRPr="00606624">
        <w:rPr>
          <w:rFonts w:ascii="Calibri" w:eastAsia="Calibri" w:hAnsi="Calibri" w:cs="Calibri"/>
          <w:color w:val="000000"/>
          <w:kern w:val="0"/>
          <w:sz w:val="24"/>
          <w:szCs w:val="24"/>
          <w:lang w:eastAsia="hr-HR" w:bidi="hr-HR"/>
          <w14:ligatures w14:val="none"/>
        </w:rPr>
        <w:t>Inženjer /Glavni nadzorni inženjer nominiranog sukladno točki 3.3.3.2. Dokumentacije o nabavi. Uzimajući u obzir složenost, vrijednost i prirodu predmeta nabave, iskustvo stručnjaka znatno utječe na razinu uspješnosti izvršenja ugovora o uslugama koje su predmeta nabave te je posljedično određen kriterij povezan s predmetom nabave.</w:t>
      </w:r>
    </w:p>
    <w:p w14:paraId="30E23B39"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Maksimalan broj bodova koji ponuda može dobiti prema ovom kriteriju je 20,00. Specifično iskustvo Stručnjaka 1. Inženjer /Glavni nadzorni inženjer boduje se kako slijedi:</w:t>
      </w:r>
    </w:p>
    <w:tbl>
      <w:tblPr>
        <w:tblStyle w:val="TableGrid"/>
        <w:tblW w:w="0" w:type="auto"/>
        <w:tblInd w:w="-5" w:type="dxa"/>
        <w:tblLook w:val="04A0" w:firstRow="1" w:lastRow="0" w:firstColumn="1" w:lastColumn="0" w:noHBand="0" w:noVBand="1"/>
      </w:tblPr>
      <w:tblGrid>
        <w:gridCol w:w="898"/>
        <w:gridCol w:w="4117"/>
        <w:gridCol w:w="1248"/>
        <w:gridCol w:w="1124"/>
        <w:gridCol w:w="1634"/>
      </w:tblGrid>
      <w:tr w:rsidR="00606624" w:rsidRPr="00606624" w14:paraId="3DE4DD75" w14:textId="77777777" w:rsidTr="00606624">
        <w:tc>
          <w:tcPr>
            <w:tcW w:w="898" w:type="dxa"/>
            <w:shd w:val="clear" w:color="auto" w:fill="DBE5F1"/>
            <w:vAlign w:val="center"/>
          </w:tcPr>
          <w:p w14:paraId="7206CA1A"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R.br.</w:t>
            </w:r>
          </w:p>
        </w:tc>
        <w:tc>
          <w:tcPr>
            <w:tcW w:w="5002" w:type="dxa"/>
            <w:tcBorders>
              <w:top w:val="single" w:sz="4" w:space="0" w:color="auto"/>
              <w:bottom w:val="single" w:sz="4" w:space="0" w:color="auto"/>
            </w:tcBorders>
            <w:shd w:val="clear" w:color="auto" w:fill="DBE5F1"/>
            <w:vAlign w:val="center"/>
          </w:tcPr>
          <w:p w14:paraId="098443D4" w14:textId="77777777" w:rsidR="00606624" w:rsidRPr="00606624" w:rsidRDefault="00606624" w:rsidP="00606624">
            <w:pPr>
              <w:adjustRightInd w:val="0"/>
              <w:jc w:val="center"/>
              <w:rPr>
                <w:rFonts w:ascii="Calibri" w:eastAsia="Calibri" w:hAnsi="Calibri" w:cs="Calibri"/>
                <w:b/>
                <w:color w:val="000000"/>
                <w:sz w:val="20"/>
                <w:szCs w:val="20"/>
              </w:rPr>
            </w:pPr>
            <w:r w:rsidRPr="00606624">
              <w:rPr>
                <w:rFonts w:ascii="Calibri" w:eastAsia="Calibri" w:hAnsi="Calibri" w:cs="Calibri"/>
                <w:b/>
                <w:color w:val="000000"/>
                <w:sz w:val="20"/>
                <w:szCs w:val="20"/>
              </w:rPr>
              <w:t>Stručnjak 1 (IS1):</w:t>
            </w:r>
          </w:p>
          <w:p w14:paraId="322AE393"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Inženjer/Glavni nadzorni inženjer</w:t>
            </w:r>
          </w:p>
        </w:tc>
        <w:tc>
          <w:tcPr>
            <w:tcW w:w="1248" w:type="dxa"/>
            <w:shd w:val="clear" w:color="auto" w:fill="DBE5F1"/>
            <w:vAlign w:val="center"/>
          </w:tcPr>
          <w:p w14:paraId="326943C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referenci</w:t>
            </w:r>
          </w:p>
        </w:tc>
        <w:tc>
          <w:tcPr>
            <w:tcW w:w="1124" w:type="dxa"/>
            <w:shd w:val="clear" w:color="auto" w:fill="DBE5F1"/>
            <w:vAlign w:val="center"/>
          </w:tcPr>
          <w:p w14:paraId="0B5A5781"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bodova</w:t>
            </w:r>
          </w:p>
        </w:tc>
        <w:tc>
          <w:tcPr>
            <w:tcW w:w="1365" w:type="dxa"/>
            <w:shd w:val="clear" w:color="auto" w:fill="DBE5F1"/>
            <w:vAlign w:val="center"/>
          </w:tcPr>
          <w:p w14:paraId="23DBAF68"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Sveukupni broj bodova</w:t>
            </w:r>
          </w:p>
        </w:tc>
      </w:tr>
      <w:tr w:rsidR="00606624" w:rsidRPr="00606624" w14:paraId="04800B05" w14:textId="77777777" w:rsidTr="005A13C1">
        <w:trPr>
          <w:trHeight w:val="1692"/>
        </w:trPr>
        <w:tc>
          <w:tcPr>
            <w:tcW w:w="898" w:type="dxa"/>
            <w:vMerge w:val="restart"/>
          </w:tcPr>
          <w:p w14:paraId="10109F95"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r w:rsidRPr="00606624">
              <w:rPr>
                <w:rFonts w:ascii="Calibri" w:eastAsia="Times New Roman" w:hAnsi="Calibri" w:cs="Calibri"/>
                <w:bCs/>
                <w:sz w:val="24"/>
                <w:szCs w:val="24"/>
              </w:rPr>
              <w:t>1.</w:t>
            </w:r>
          </w:p>
        </w:tc>
        <w:tc>
          <w:tcPr>
            <w:tcW w:w="5002" w:type="dxa"/>
            <w:vMerge w:val="restart"/>
            <w:tcBorders>
              <w:top w:val="single" w:sz="4" w:space="0" w:color="auto"/>
              <w:bottom w:val="none" w:sz="6" w:space="0" w:color="auto"/>
            </w:tcBorders>
          </w:tcPr>
          <w:p w14:paraId="68C6D4F1"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0"/>
                <w:szCs w:val="20"/>
              </w:rPr>
            </w:pPr>
            <w:r w:rsidRPr="00606624">
              <w:rPr>
                <w:rFonts w:ascii="Calibri" w:eastAsia="Times New Roman" w:hAnsi="Calibri" w:cs="Calibri"/>
                <w:bCs/>
                <w:sz w:val="20"/>
                <w:szCs w:val="20"/>
              </w:rPr>
              <w:t>Broj ugovora izgradnje i/ili rekonstrukcije građevina javne i društvene namjene* na kojima je stručnjak bio imenovan u svojstvu Inženjera prema FIDIC-u i/ili Glavnog nadzornog inženjera i/ili nadzornog inženjera za čitavo vrijeme trajanja ugovora ili najmanje u neprekinutom trajanju od 10 mjeseci**</w:t>
            </w:r>
          </w:p>
          <w:p w14:paraId="2EE41C23"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0"/>
                <w:szCs w:val="20"/>
              </w:rPr>
            </w:pPr>
            <w:r w:rsidRPr="00606624">
              <w:rPr>
                <w:rFonts w:ascii="Calibri" w:eastAsia="Times New Roman" w:hAnsi="Calibri" w:cs="Calibri"/>
                <w:bCs/>
                <w:sz w:val="20"/>
                <w:szCs w:val="20"/>
              </w:rPr>
              <w:t>Iskustvo se pri bodovanju uzima u obzir samo ako:</w:t>
            </w:r>
          </w:p>
          <w:p w14:paraId="0018247D" w14:textId="77777777" w:rsidR="00606624" w:rsidRPr="00606624" w:rsidRDefault="00606624" w:rsidP="00606624">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su radovi nad kojima je pružena usluga ugovoreni prema FIDIC modelu ugovora ili jednakovrijedno***;</w:t>
            </w:r>
          </w:p>
          <w:p w14:paraId="393C849C" w14:textId="77777777" w:rsidR="00606624" w:rsidRPr="00606624" w:rsidRDefault="00606624" w:rsidP="00606624">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je za radove izdana uporabna dozvola ili drugi jednakovrijedni dokument kojim se odobrava korištenje izgrađene građevine ili je ishođena potvrda o preuzimanju radova. Neće se priznavati uporabne dozvole za dio građevine u sklopu ugovora niti privremene uporabne dozvole, niti potvrde o preuzimanju za dio građevine u sklopu ugovora.</w:t>
            </w:r>
          </w:p>
          <w:p w14:paraId="61B82D29" w14:textId="77777777" w:rsidR="00606624" w:rsidRPr="00606624" w:rsidRDefault="00606624" w:rsidP="00606624">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Ako je vrijednost radova nad kojima je pružena usluga jednaka ili veća od 1.000.000,00 Eura (€) bez PDV-a.</w:t>
            </w:r>
          </w:p>
        </w:tc>
        <w:tc>
          <w:tcPr>
            <w:tcW w:w="1248" w:type="dxa"/>
            <w:vAlign w:val="center"/>
          </w:tcPr>
          <w:p w14:paraId="71A9793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1-2</w:t>
            </w:r>
          </w:p>
        </w:tc>
        <w:tc>
          <w:tcPr>
            <w:tcW w:w="1124" w:type="dxa"/>
            <w:vAlign w:val="center"/>
          </w:tcPr>
          <w:p w14:paraId="0D9C7F2A"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7,00</w:t>
            </w:r>
          </w:p>
        </w:tc>
        <w:tc>
          <w:tcPr>
            <w:tcW w:w="1365" w:type="dxa"/>
            <w:vMerge w:val="restart"/>
            <w:vAlign w:val="center"/>
          </w:tcPr>
          <w:p w14:paraId="47C720AF"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i/>
                <w:iCs/>
              </w:rPr>
            </w:pPr>
            <w:r w:rsidRPr="00606624">
              <w:rPr>
                <w:rFonts w:ascii="Calibri" w:eastAsia="Times New Roman" w:hAnsi="Calibri" w:cs="Calibri"/>
                <w:b/>
                <w:i/>
                <w:iCs/>
              </w:rPr>
              <w:t>Maksimalno 20,00</w:t>
            </w:r>
          </w:p>
          <w:p w14:paraId="3D3DBCC8"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
                <w:i/>
                <w:iCs/>
              </w:rPr>
              <w:t>bodova</w:t>
            </w:r>
          </w:p>
        </w:tc>
      </w:tr>
      <w:tr w:rsidR="00606624" w:rsidRPr="00606624" w14:paraId="40050A7D" w14:textId="77777777" w:rsidTr="005A13C1">
        <w:trPr>
          <w:trHeight w:val="2384"/>
        </w:trPr>
        <w:tc>
          <w:tcPr>
            <w:tcW w:w="898" w:type="dxa"/>
            <w:vMerge/>
          </w:tcPr>
          <w:p w14:paraId="3F33616F"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312DB604"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41AC975D"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3-4</w:t>
            </w:r>
          </w:p>
        </w:tc>
        <w:tc>
          <w:tcPr>
            <w:tcW w:w="1124" w:type="dxa"/>
            <w:vAlign w:val="center"/>
          </w:tcPr>
          <w:p w14:paraId="15379172"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14,00</w:t>
            </w:r>
          </w:p>
        </w:tc>
        <w:tc>
          <w:tcPr>
            <w:tcW w:w="1365" w:type="dxa"/>
            <w:vMerge/>
          </w:tcPr>
          <w:p w14:paraId="0FD380E8"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77AD60AC" w14:textId="77777777" w:rsidTr="005A13C1">
        <w:trPr>
          <w:trHeight w:val="692"/>
        </w:trPr>
        <w:tc>
          <w:tcPr>
            <w:tcW w:w="898" w:type="dxa"/>
            <w:vMerge/>
          </w:tcPr>
          <w:p w14:paraId="1C703ED2"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1926B6DD"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7D41F51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5 i više</w:t>
            </w:r>
          </w:p>
        </w:tc>
        <w:tc>
          <w:tcPr>
            <w:tcW w:w="1124" w:type="dxa"/>
            <w:vAlign w:val="center"/>
          </w:tcPr>
          <w:p w14:paraId="6663F45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20,00</w:t>
            </w:r>
          </w:p>
        </w:tc>
        <w:tc>
          <w:tcPr>
            <w:tcW w:w="1365" w:type="dxa"/>
            <w:vMerge/>
          </w:tcPr>
          <w:p w14:paraId="23A1224B"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0EBEE211" w14:textId="77777777" w:rsidTr="00606624">
        <w:trPr>
          <w:trHeight w:val="1070"/>
        </w:trPr>
        <w:tc>
          <w:tcPr>
            <w:tcW w:w="9637" w:type="dxa"/>
            <w:gridSpan w:val="5"/>
            <w:shd w:val="clear" w:color="auto" w:fill="DBE5F1"/>
          </w:tcPr>
          <w:p w14:paraId="5162A6FC" w14:textId="77777777" w:rsidR="00606624" w:rsidRPr="00606624" w:rsidRDefault="00606624" w:rsidP="00606624">
            <w:pPr>
              <w:ind w:left="284" w:right="286"/>
              <w:jc w:val="both"/>
              <w:rPr>
                <w:rFonts w:ascii="Calibri" w:eastAsia="Calibri" w:hAnsi="Calibri" w:cs="Calibri"/>
                <w:i/>
                <w:iCs/>
                <w:color w:val="000000"/>
                <w:sz w:val="20"/>
                <w:szCs w:val="20"/>
                <w:lang w:eastAsia="hr-HR" w:bidi="hr-HR"/>
              </w:rPr>
            </w:pPr>
            <w:r w:rsidRPr="00606624">
              <w:rPr>
                <w:rFonts w:ascii="Calibri" w:eastAsia="Calibri" w:hAnsi="Calibri" w:cs="Calibri"/>
                <w:i/>
                <w:iCs/>
                <w:color w:val="000000"/>
                <w:sz w:val="20"/>
                <w:szCs w:val="20"/>
                <w:lang w:eastAsia="hr-HR" w:bidi="hr-HR"/>
              </w:rPr>
              <w:t>*</w:t>
            </w:r>
            <w:r w:rsidRPr="00606624">
              <w:rPr>
                <w:rFonts w:ascii="Calibri" w:eastAsia="Calibri" w:hAnsi="Calibri" w:cs="Calibri"/>
                <w:i/>
                <w:iCs/>
                <w:sz w:val="20"/>
                <w:szCs w:val="20"/>
                <w:lang w:eastAsia="hr-HR" w:bidi="hr-HR"/>
              </w:rPr>
              <w:t xml:space="preserve"> </w:t>
            </w:r>
            <w:r w:rsidRPr="00606624">
              <w:rPr>
                <w:rFonts w:ascii="Calibri" w:eastAsia="Calibri" w:hAnsi="Calibri" w:cs="Calibri"/>
                <w:i/>
                <w:iCs/>
                <w:color w:val="000000"/>
                <w:sz w:val="20"/>
                <w:szCs w:val="20"/>
                <w:lang w:eastAsia="hr-HR" w:bidi="hr-HR"/>
              </w:rPr>
              <w:t>Prema definiciji iz Zakona o prostornom uređenju (NN 153/13, 65/17, 114/18, 39/19, 98/19, 67/23, čl. 3.):</w:t>
            </w:r>
          </w:p>
          <w:p w14:paraId="50ACFF2B" w14:textId="77777777" w:rsidR="00606624" w:rsidRP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sidRPr="00606624">
              <w:rPr>
                <w:rFonts w:ascii="Calibri" w:eastAsia="Times New Roman" w:hAnsi="Calibri" w:cs="Calibri"/>
                <w:bCs/>
                <w:i/>
                <w:iCs/>
                <w:color w:val="000000"/>
                <w:sz w:val="20"/>
                <w:szCs w:val="20"/>
              </w:rPr>
              <w:t>Građevine javne i društvene namjene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17C5E47F" w14:textId="77777777" w:rsidR="00606624" w:rsidRP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i/>
                <w:iCs/>
                <w:sz w:val="20"/>
                <w:szCs w:val="20"/>
              </w:rPr>
            </w:pPr>
            <w:r w:rsidRPr="00606624">
              <w:rPr>
                <w:rFonts w:ascii="Calibri" w:eastAsia="Times New Roman" w:hAnsi="Calibri" w:cs="Calibri"/>
                <w:bCs/>
                <w:i/>
                <w:iCs/>
                <w:sz w:val="20"/>
                <w:szCs w:val="20"/>
              </w:rPr>
              <w:t>** Računanje u mjesecima: razdoblje od 10 mjeseci istječe onog mjeseca koji po svom broju odgovara danu kad je ugovor započeo odnosno danu u koji pada događaj od kojega se računa trajanje roka. Ako toga dana nema u mjesecu u kojem rok istječe, rok istječe posljednjeg dana toga mjeseca</w:t>
            </w:r>
          </w:p>
          <w:p w14:paraId="1DDBA7BE" w14:textId="77777777" w:rsidR="00606624" w:rsidRP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sz w:val="24"/>
                <w:szCs w:val="24"/>
              </w:rPr>
            </w:pPr>
            <w:r w:rsidRPr="00606624">
              <w:rPr>
                <w:rFonts w:ascii="Calibri" w:eastAsia="Times New Roman" w:hAnsi="Calibri" w:cs="Calibri"/>
                <w:bCs/>
                <w:i/>
                <w:iCs/>
                <w:sz w:val="20"/>
                <w:szCs w:val="20"/>
              </w:rPr>
              <w:lastRenderedPageBreak/>
              <w:t>***</w:t>
            </w:r>
            <w:r w:rsidRPr="00606624">
              <w:rPr>
                <w:rFonts w:ascii="Calibri" w:eastAsia="Times New Roman" w:hAnsi="Calibri" w:cs="Calibri"/>
                <w:bCs/>
                <w:sz w:val="20"/>
                <w:szCs w:val="20"/>
              </w:rPr>
              <w:t xml:space="preserve"> </w:t>
            </w:r>
            <w:r w:rsidRPr="00606624">
              <w:rPr>
                <w:rFonts w:ascii="Calibri" w:eastAsia="Times New Roman" w:hAnsi="Calibri" w:cs="Calibri"/>
                <w:bCs/>
                <w:i/>
                <w:iCs/>
                <w:sz w:val="20"/>
                <w:szCs w:val="20"/>
              </w:rPr>
              <w:t>Naručitelj pod pojmom „FIDIC model ugovora ili jednakovrijedno“ smatra sve primjenjive modele FIDIC ugovora te jednakovrijedne modele ugovora koji predstavljaju standardizirane uvjete ugovora s propisanim procesima provedbe koje koriste Europska investicijska banka (EIB), Europska banka za obnovu i razvitak (EBRD), Svjetska banka (WB) i slično. Radovi će se ugovoriti po FIDIC modelu ugovora Crvena knjiga (Red Book) prvo izdanje iz 1999. u izdanju „Federation Internationale des Ingenieurs-Conseils“ (FIDIC), te je iz tog razloga specifično iskustvo stručnjaka prema FIDIC modelu ugovora ili jednakovrijedno vrlo važno radi efikasnog, uspješnog, pravodobnog i kvalitetnog izvršavanja predmeta nabave</w:t>
            </w:r>
          </w:p>
        </w:tc>
      </w:tr>
    </w:tbl>
    <w:p w14:paraId="4BF368F0"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540D92F5"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24"/>
          <w:szCs w:val="24"/>
          <w14:ligatures w14:val="none"/>
        </w:rPr>
      </w:pPr>
      <w:r w:rsidRPr="00606624">
        <w:rPr>
          <w:rFonts w:ascii="Calibri" w:eastAsia="Calibri" w:hAnsi="Calibri" w:cs="Calibri"/>
          <w:kern w:val="0"/>
          <w:sz w:val="24"/>
          <w:szCs w:val="24"/>
          <w:lang w:eastAsia="hr-HR" w:bidi="hr-HR"/>
          <w14:ligatures w14:val="none"/>
        </w:rPr>
        <w:br w:type="page"/>
      </w:r>
    </w:p>
    <w:p w14:paraId="27CB9DB1" w14:textId="77777777" w:rsidR="00606624" w:rsidRPr="00606624" w:rsidRDefault="00606624" w:rsidP="00606624">
      <w:pPr>
        <w:tabs>
          <w:tab w:val="left" w:pos="680"/>
          <w:tab w:val="left" w:pos="9781"/>
        </w:tabs>
        <w:suppressAutoHyphens/>
        <w:spacing w:after="120" w:line="240" w:lineRule="auto"/>
        <w:ind w:right="284"/>
        <w:jc w:val="both"/>
        <w:rPr>
          <w:rFonts w:ascii="Calibri" w:eastAsia="Times New Roman" w:hAnsi="Calibri" w:cs="Calibri"/>
          <w:bCs/>
          <w:kern w:val="0"/>
          <w:sz w:val="24"/>
          <w:szCs w:val="24"/>
          <w14:ligatures w14:val="none"/>
        </w:rPr>
      </w:pPr>
    </w:p>
    <w:p w14:paraId="496D5D3A"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2.1.Necjenovni kriterij  - Specifično iskustvo Stručnjaka 2. (IS2)</w:t>
      </w:r>
    </w:p>
    <w:p w14:paraId="039E5051"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Naručitelj kao jedan od kriterija za odabir ekonomski najpovoljnije ponude određuje iskustvo Stručnjaka 2.</w:t>
      </w:r>
      <w:r w:rsidRPr="00606624">
        <w:rPr>
          <w:rFonts w:ascii="Calibri" w:eastAsia="Calibri" w:hAnsi="Calibri" w:cs="Calibri"/>
          <w:kern w:val="0"/>
          <w:lang w:eastAsia="hr-HR" w:bidi="hr-HR"/>
          <w14:ligatures w14:val="none"/>
        </w:rPr>
        <w:t xml:space="preserve"> </w:t>
      </w:r>
      <w:r w:rsidRPr="00606624">
        <w:rPr>
          <w:rFonts w:ascii="Calibri" w:eastAsia="Calibri" w:hAnsi="Calibri" w:cs="Calibri"/>
          <w:color w:val="000000"/>
          <w:kern w:val="0"/>
          <w:sz w:val="24"/>
          <w:szCs w:val="24"/>
          <w:lang w:eastAsia="hr-HR" w:bidi="hr-HR"/>
          <w14:ligatures w14:val="none"/>
        </w:rPr>
        <w:t>Nadzorni inženjer za građevinske radove nominiranog sukladno točki 3.3.3.2. Dokumentacije o nabavi. Uzimajući u obzir složenost, vrijednost i prirodu predmeta nabave, iskustvo stručnjaka znatno utječe na razinu uspješnosti izvršenja ugovora o uslugama koje su predmeta nabave te je posljedično određen kriterij povezan s predmetom nabave.</w:t>
      </w:r>
    </w:p>
    <w:p w14:paraId="6B7BE986"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Maksimalan broj bodova koji ponuda može dobiti prema ovom kriteriju je 20,00. Specifično iskustvo Stručnjaka 2. Nadzorni inženjer za građevinske radove boduje se kako slijedi:</w:t>
      </w:r>
    </w:p>
    <w:tbl>
      <w:tblPr>
        <w:tblStyle w:val="TableGrid"/>
        <w:tblW w:w="0" w:type="auto"/>
        <w:tblInd w:w="-5" w:type="dxa"/>
        <w:tblLook w:val="04A0" w:firstRow="1" w:lastRow="0" w:firstColumn="1" w:lastColumn="0" w:noHBand="0" w:noVBand="1"/>
      </w:tblPr>
      <w:tblGrid>
        <w:gridCol w:w="898"/>
        <w:gridCol w:w="4117"/>
        <w:gridCol w:w="1248"/>
        <w:gridCol w:w="1124"/>
        <w:gridCol w:w="1634"/>
      </w:tblGrid>
      <w:tr w:rsidR="00606624" w:rsidRPr="00606624" w14:paraId="65664E91" w14:textId="77777777" w:rsidTr="00606624">
        <w:tc>
          <w:tcPr>
            <w:tcW w:w="898" w:type="dxa"/>
            <w:shd w:val="clear" w:color="auto" w:fill="DBE5F1"/>
            <w:vAlign w:val="center"/>
          </w:tcPr>
          <w:p w14:paraId="0BBA9911"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R.br.</w:t>
            </w:r>
          </w:p>
        </w:tc>
        <w:tc>
          <w:tcPr>
            <w:tcW w:w="5002" w:type="dxa"/>
            <w:tcBorders>
              <w:top w:val="single" w:sz="4" w:space="0" w:color="auto"/>
              <w:bottom w:val="single" w:sz="4" w:space="0" w:color="auto"/>
            </w:tcBorders>
            <w:shd w:val="clear" w:color="auto" w:fill="DBE5F1"/>
            <w:vAlign w:val="center"/>
          </w:tcPr>
          <w:p w14:paraId="108EDD7F" w14:textId="77777777" w:rsidR="00606624" w:rsidRPr="00606624" w:rsidRDefault="00606624" w:rsidP="00606624">
            <w:pPr>
              <w:adjustRightInd w:val="0"/>
              <w:jc w:val="center"/>
              <w:rPr>
                <w:rFonts w:ascii="Calibri" w:eastAsia="Calibri" w:hAnsi="Calibri" w:cs="Calibri"/>
                <w:b/>
                <w:color w:val="000000"/>
                <w:sz w:val="20"/>
                <w:szCs w:val="20"/>
              </w:rPr>
            </w:pPr>
            <w:r w:rsidRPr="00606624">
              <w:rPr>
                <w:rFonts w:ascii="Calibri" w:eastAsia="Calibri" w:hAnsi="Calibri" w:cs="Calibri"/>
                <w:b/>
                <w:color w:val="000000"/>
                <w:sz w:val="20"/>
                <w:szCs w:val="20"/>
              </w:rPr>
              <w:t>Stručnjak 1 (IS1):</w:t>
            </w:r>
          </w:p>
          <w:p w14:paraId="53D40D1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Nadzorni inženjer za građevinske radove</w:t>
            </w:r>
          </w:p>
        </w:tc>
        <w:tc>
          <w:tcPr>
            <w:tcW w:w="1248" w:type="dxa"/>
            <w:shd w:val="clear" w:color="auto" w:fill="DBE5F1"/>
            <w:vAlign w:val="center"/>
          </w:tcPr>
          <w:p w14:paraId="09069E1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referenci</w:t>
            </w:r>
          </w:p>
        </w:tc>
        <w:tc>
          <w:tcPr>
            <w:tcW w:w="1124" w:type="dxa"/>
            <w:shd w:val="clear" w:color="auto" w:fill="DBE5F1"/>
            <w:vAlign w:val="center"/>
          </w:tcPr>
          <w:p w14:paraId="5DEBD2C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bodova</w:t>
            </w:r>
          </w:p>
        </w:tc>
        <w:tc>
          <w:tcPr>
            <w:tcW w:w="1365" w:type="dxa"/>
            <w:shd w:val="clear" w:color="auto" w:fill="DBE5F1"/>
            <w:vAlign w:val="center"/>
          </w:tcPr>
          <w:p w14:paraId="3B026194"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Sveukupni broj bodova</w:t>
            </w:r>
          </w:p>
        </w:tc>
      </w:tr>
      <w:tr w:rsidR="00606624" w:rsidRPr="00606624" w14:paraId="5D70CA2B" w14:textId="77777777" w:rsidTr="005A13C1">
        <w:trPr>
          <w:trHeight w:val="640"/>
        </w:trPr>
        <w:tc>
          <w:tcPr>
            <w:tcW w:w="898" w:type="dxa"/>
            <w:vMerge w:val="restart"/>
          </w:tcPr>
          <w:p w14:paraId="20E10EC8"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r w:rsidRPr="00606624">
              <w:rPr>
                <w:rFonts w:ascii="Calibri" w:eastAsia="Times New Roman" w:hAnsi="Calibri" w:cs="Calibri"/>
                <w:bCs/>
                <w:sz w:val="24"/>
                <w:szCs w:val="24"/>
              </w:rPr>
              <w:t>1.</w:t>
            </w:r>
          </w:p>
        </w:tc>
        <w:tc>
          <w:tcPr>
            <w:tcW w:w="5002" w:type="dxa"/>
            <w:vMerge w:val="restart"/>
            <w:tcBorders>
              <w:top w:val="single" w:sz="4" w:space="0" w:color="auto"/>
              <w:bottom w:val="none" w:sz="6" w:space="0" w:color="auto"/>
            </w:tcBorders>
          </w:tcPr>
          <w:p w14:paraId="7500DD07"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rPr>
            </w:pPr>
            <w:r w:rsidRPr="00606624">
              <w:rPr>
                <w:rFonts w:ascii="Calibri" w:eastAsia="Times New Roman" w:hAnsi="Calibri" w:cs="Calibri"/>
                <w:bCs/>
                <w:sz w:val="20"/>
                <w:szCs w:val="20"/>
              </w:rPr>
              <w:t>Broj ugovora čija je vrijednosti radova nad kojima je pružena usluga jednaka ili veća od 1.000.000,00 Eura (€) bez PDV-a na kojima je stručnjak izvršavao uslugu Nadzorni inženjer za građevinske radove ili Glavni nadzorni inženjer (građevinske struke) pri građenju i/ili rekonstrukciji građevina javne i društvene namjene*.</w:t>
            </w:r>
          </w:p>
        </w:tc>
        <w:tc>
          <w:tcPr>
            <w:tcW w:w="1248" w:type="dxa"/>
            <w:vAlign w:val="center"/>
          </w:tcPr>
          <w:p w14:paraId="3D2C559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1-2</w:t>
            </w:r>
          </w:p>
        </w:tc>
        <w:tc>
          <w:tcPr>
            <w:tcW w:w="1124" w:type="dxa"/>
            <w:vAlign w:val="center"/>
          </w:tcPr>
          <w:p w14:paraId="68DC926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7,00</w:t>
            </w:r>
          </w:p>
        </w:tc>
        <w:tc>
          <w:tcPr>
            <w:tcW w:w="1365" w:type="dxa"/>
            <w:vMerge w:val="restart"/>
            <w:vAlign w:val="center"/>
          </w:tcPr>
          <w:p w14:paraId="70E8EEED"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i/>
                <w:iCs/>
              </w:rPr>
            </w:pPr>
            <w:r w:rsidRPr="00606624">
              <w:rPr>
                <w:rFonts w:ascii="Calibri" w:eastAsia="Times New Roman" w:hAnsi="Calibri" w:cs="Calibri"/>
                <w:b/>
                <w:i/>
                <w:iCs/>
              </w:rPr>
              <w:t>Maksimalno 20,00</w:t>
            </w:r>
          </w:p>
          <w:p w14:paraId="3322E9D1"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
                <w:i/>
                <w:iCs/>
              </w:rPr>
              <w:t>bodova</w:t>
            </w:r>
          </w:p>
        </w:tc>
      </w:tr>
      <w:tr w:rsidR="00606624" w:rsidRPr="00606624" w14:paraId="4C2B7DAA" w14:textId="77777777" w:rsidTr="005A13C1">
        <w:trPr>
          <w:trHeight w:val="734"/>
        </w:trPr>
        <w:tc>
          <w:tcPr>
            <w:tcW w:w="898" w:type="dxa"/>
            <w:vMerge/>
          </w:tcPr>
          <w:p w14:paraId="4B08CC41"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2B90C463"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6BCADD95"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3-4</w:t>
            </w:r>
          </w:p>
        </w:tc>
        <w:tc>
          <w:tcPr>
            <w:tcW w:w="1124" w:type="dxa"/>
            <w:vAlign w:val="center"/>
          </w:tcPr>
          <w:p w14:paraId="60A3923D"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14,00</w:t>
            </w:r>
          </w:p>
        </w:tc>
        <w:tc>
          <w:tcPr>
            <w:tcW w:w="1365" w:type="dxa"/>
            <w:vMerge/>
          </w:tcPr>
          <w:p w14:paraId="7E2E2AC3"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0564C78B" w14:textId="77777777" w:rsidTr="005A13C1">
        <w:trPr>
          <w:trHeight w:val="573"/>
        </w:trPr>
        <w:tc>
          <w:tcPr>
            <w:tcW w:w="898" w:type="dxa"/>
            <w:vMerge/>
          </w:tcPr>
          <w:p w14:paraId="3B80C24B"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55AA816D"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093405B2"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5 i više</w:t>
            </w:r>
          </w:p>
        </w:tc>
        <w:tc>
          <w:tcPr>
            <w:tcW w:w="1124" w:type="dxa"/>
            <w:vAlign w:val="center"/>
          </w:tcPr>
          <w:p w14:paraId="2BCB4200"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20,00</w:t>
            </w:r>
          </w:p>
        </w:tc>
        <w:tc>
          <w:tcPr>
            <w:tcW w:w="1365" w:type="dxa"/>
            <w:vMerge/>
          </w:tcPr>
          <w:p w14:paraId="2FAFC6A7"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4CE7B148" w14:textId="77777777" w:rsidTr="00606624">
        <w:trPr>
          <w:trHeight w:val="1070"/>
        </w:trPr>
        <w:tc>
          <w:tcPr>
            <w:tcW w:w="9637" w:type="dxa"/>
            <w:gridSpan w:val="5"/>
            <w:shd w:val="clear" w:color="auto" w:fill="DBE5F1"/>
          </w:tcPr>
          <w:p w14:paraId="0647CEEE" w14:textId="77777777" w:rsidR="00606624" w:rsidRPr="00606624" w:rsidRDefault="00606624" w:rsidP="00606624">
            <w:pPr>
              <w:ind w:left="284" w:right="286"/>
              <w:jc w:val="both"/>
              <w:rPr>
                <w:rFonts w:ascii="Calibri" w:eastAsia="Calibri" w:hAnsi="Calibri" w:cs="Calibri"/>
                <w:i/>
                <w:iCs/>
                <w:color w:val="000000"/>
                <w:sz w:val="20"/>
                <w:szCs w:val="20"/>
                <w:lang w:eastAsia="hr-HR" w:bidi="hr-HR"/>
              </w:rPr>
            </w:pPr>
            <w:r w:rsidRPr="00606624">
              <w:rPr>
                <w:rFonts w:ascii="Calibri" w:eastAsia="Calibri" w:hAnsi="Calibri" w:cs="Calibri"/>
                <w:i/>
                <w:iCs/>
                <w:color w:val="000000"/>
                <w:sz w:val="20"/>
                <w:szCs w:val="20"/>
                <w:lang w:eastAsia="hr-HR" w:bidi="hr-HR"/>
              </w:rPr>
              <w:t>*</w:t>
            </w:r>
            <w:r w:rsidRPr="00606624">
              <w:rPr>
                <w:rFonts w:ascii="Calibri" w:eastAsia="Calibri" w:hAnsi="Calibri" w:cs="Calibri"/>
                <w:i/>
                <w:iCs/>
                <w:sz w:val="20"/>
                <w:szCs w:val="20"/>
                <w:lang w:eastAsia="hr-HR" w:bidi="hr-HR"/>
              </w:rPr>
              <w:t xml:space="preserve"> </w:t>
            </w:r>
            <w:r w:rsidRPr="00606624">
              <w:rPr>
                <w:rFonts w:ascii="Calibri" w:eastAsia="Calibri" w:hAnsi="Calibri" w:cs="Calibri"/>
                <w:i/>
                <w:iCs/>
                <w:color w:val="000000"/>
                <w:sz w:val="20"/>
                <w:szCs w:val="20"/>
                <w:lang w:eastAsia="hr-HR" w:bidi="hr-HR"/>
              </w:rPr>
              <w:t>Prema definiciji iz Zakona o prostornom uređenju (NN 153/13, 65/17, 114/18, 39/19, 98/19, 67/23, čl. 3.):</w:t>
            </w:r>
          </w:p>
          <w:p w14:paraId="0BDA331E" w14:textId="77777777" w:rsidR="00606624" w:rsidRP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sidRPr="00606624">
              <w:rPr>
                <w:rFonts w:ascii="Calibri" w:eastAsia="Times New Roman" w:hAnsi="Calibri" w:cs="Calibri"/>
                <w:bCs/>
                <w:i/>
                <w:iCs/>
                <w:color w:val="000000"/>
                <w:sz w:val="20"/>
                <w:szCs w:val="20"/>
              </w:rPr>
              <w:t>Građevine javne i društvene namjene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tc>
      </w:tr>
    </w:tbl>
    <w:p w14:paraId="6F88F783"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748C4D0E"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Za potrebe bodovanja gospodarski subjekti dužni su u ponudi dostaviti potvrde.</w:t>
      </w:r>
    </w:p>
    <w:p w14:paraId="457504A7"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Naručitelj će kao dostatan dokaz stručnog iskustva ključnih stručnjaka prihvatiti:</w:t>
      </w:r>
    </w:p>
    <w:p w14:paraId="35404A2B" w14:textId="77777777" w:rsidR="00606624" w:rsidRPr="00606624" w:rsidRDefault="00606624" w:rsidP="00606624">
      <w:pPr>
        <w:widowControl w:val="0"/>
        <w:numPr>
          <w:ilvl w:val="0"/>
          <w:numId w:val="3"/>
        </w:numPr>
        <w:tabs>
          <w:tab w:val="left" w:pos="680"/>
          <w:tab w:val="left" w:pos="9781"/>
        </w:tabs>
        <w:suppressAutoHyphens/>
        <w:autoSpaceDE w:val="0"/>
        <w:autoSpaceDN w:val="0"/>
        <w:spacing w:after="120" w:line="240" w:lineRule="auto"/>
        <w:ind w:right="284"/>
        <w:jc w:val="both"/>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potvrdu Naručitelja/Investitora ili</w:t>
      </w:r>
    </w:p>
    <w:p w14:paraId="7E6A22BE" w14:textId="77777777" w:rsidR="00606624" w:rsidRPr="00606624" w:rsidRDefault="00606624" w:rsidP="00606624">
      <w:pPr>
        <w:widowControl w:val="0"/>
        <w:numPr>
          <w:ilvl w:val="0"/>
          <w:numId w:val="3"/>
        </w:numPr>
        <w:tabs>
          <w:tab w:val="left" w:pos="680"/>
          <w:tab w:val="left" w:pos="9781"/>
        </w:tabs>
        <w:suppressAutoHyphens/>
        <w:autoSpaceDE w:val="0"/>
        <w:autoSpaceDN w:val="0"/>
        <w:spacing w:after="120" w:line="240" w:lineRule="auto"/>
        <w:ind w:right="284"/>
        <w:jc w:val="both"/>
        <w:rPr>
          <w:rFonts w:ascii="Calibri" w:eastAsia="Times New Roman" w:hAnsi="Calibri" w:cs="Calibri"/>
          <w:bCs/>
          <w:kern w:val="0"/>
          <w:sz w:val="24"/>
          <w:szCs w:val="24"/>
          <w14:ligatures w14:val="none"/>
        </w:rPr>
      </w:pPr>
      <w:r w:rsidRPr="00606624">
        <w:rPr>
          <w:rFonts w:ascii="Calibri" w:eastAsia="Times New Roman" w:hAnsi="Calibri" w:cs="Calibri"/>
          <w:b/>
          <w:kern w:val="0"/>
          <w:sz w:val="24"/>
          <w:szCs w:val="24"/>
          <w14:ligatures w14:val="none"/>
        </w:rPr>
        <w:t>Potvrdu Poslodavca kod kojeg je stručnjak angažiran/bio angažiran u vrijeme sudjelovanja u izvršavanju ugovora,</w:t>
      </w:r>
    </w:p>
    <w:p w14:paraId="48C3CC08"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iz kojih se nedvojbeno i jednoznačno može utvrditi ispunjenje stručnog iskustva ključnih stručnjaka sukladno kriterijima za odabir ponude definiranim odredbama ove točke Dokumentacije o nabavi.</w:t>
      </w:r>
    </w:p>
    <w:p w14:paraId="1A77363C"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Ukoliko Ponuditelj ne dostavi navedene potvrde za stručnjake, ponuda neće biti odbijena već će u traženom kriteriju ostvariti 0 bodova. Ukoliko pojedini stručnjaci ne dokažu minimum traženog iskustva iz ove točke Dokumentacije o nabavi, ne ostvaruju bodove u sklopu tog kriterija bodovanja stručnjaka, tj. broj bodova koji mu se dodjeljuje je 0.</w:t>
      </w:r>
    </w:p>
    <w:p w14:paraId="023D7C5A" w14:textId="77777777" w:rsidR="00CA0427" w:rsidRDefault="00CA0427"/>
    <w:sectPr w:rsidR="00CA0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1" w15:restartNumberingAfterBreak="0">
    <w:nsid w:val="130D08A8"/>
    <w:multiLevelType w:val="hybridMultilevel"/>
    <w:tmpl w:val="909896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304B56"/>
    <w:multiLevelType w:val="hybridMultilevel"/>
    <w:tmpl w:val="DF3A4F44"/>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num w:numId="1" w16cid:durableId="145828094">
    <w:abstractNumId w:val="0"/>
  </w:num>
  <w:num w:numId="2" w16cid:durableId="1559970813">
    <w:abstractNumId w:val="1"/>
  </w:num>
  <w:num w:numId="3" w16cid:durableId="239413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624"/>
    <w:rsid w:val="00606624"/>
    <w:rsid w:val="00CA0427"/>
    <w:rsid w:val="00D40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C605"/>
  <w15:chartTrackingRefBased/>
  <w15:docId w15:val="{192C035D-8916-472B-A760-C1C67578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ica za Studiju"/>
    <w:basedOn w:val="TableNormal"/>
    <w:uiPriority w:val="39"/>
    <w:rsid w:val="00606624"/>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1374</Words>
  <Characters>7833</Characters>
  <Application>Microsoft Office Word</Application>
  <DocSecurity>0</DocSecurity>
  <Lines>65</Lines>
  <Paragraphs>18</Paragraphs>
  <ScaleCrop>false</ScaleCrop>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2</cp:revision>
  <dcterms:created xsi:type="dcterms:W3CDTF">2024-01-18T09:54:00Z</dcterms:created>
  <dcterms:modified xsi:type="dcterms:W3CDTF">2024-01-18T09:57:00Z</dcterms:modified>
</cp:coreProperties>
</file>