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763" w:rsidRPr="00913763" w:rsidRDefault="00913763" w:rsidP="0091376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13763">
        <w:rPr>
          <w:rFonts w:ascii="Times New Roman" w:hAnsi="Times New Roman"/>
          <w:b/>
          <w:sz w:val="24"/>
        </w:rPr>
        <w:t xml:space="preserve">OBRAZLOŽENJE </w:t>
      </w:r>
    </w:p>
    <w:p w:rsidR="00913763" w:rsidRPr="00913763" w:rsidRDefault="00913763" w:rsidP="0091376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="Times New Roman" w:hAnsi="Times New Roman"/>
          <w:b/>
          <w:sz w:val="24"/>
        </w:rPr>
      </w:pPr>
    </w:p>
    <w:p w:rsidR="00913763" w:rsidRPr="00913763" w:rsidRDefault="00913763" w:rsidP="00913763">
      <w:pPr>
        <w:pStyle w:val="NoSpacing"/>
        <w:pBdr>
          <w:bottom w:val="single" w:sz="6" w:space="1" w:color="auto"/>
        </w:pBdr>
        <w:jc w:val="center"/>
        <w:rPr>
          <w:rFonts w:ascii="Times New Roman" w:hAnsi="Times New Roman"/>
          <w:b/>
          <w:sz w:val="24"/>
        </w:rPr>
      </w:pPr>
      <w:r w:rsidRPr="00913763">
        <w:rPr>
          <w:rFonts w:ascii="Times New Roman" w:hAnsi="Times New Roman"/>
          <w:b/>
          <w:sz w:val="24"/>
        </w:rPr>
        <w:t>PRIJEDLOGA II. IZMJENA I DOPUNA PRORAČUNA DUBROVAČKO-NERETVANSKE ŽUPANIJE ZA 2022. I PROJEKCIJA ZA 2023. I 2024. GODINU</w:t>
      </w:r>
    </w:p>
    <w:p w:rsidR="00913763" w:rsidRDefault="00913763" w:rsidP="00962E92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</w:p>
    <w:p w:rsidR="00962E92" w:rsidRPr="004C788F" w:rsidRDefault="00962E92" w:rsidP="00962E92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NAZIV KORISNIKA: UPRAVNI ODJEL ZA</w:t>
      </w:r>
      <w:r w:rsidR="00656D5A" w:rsidRPr="004C788F">
        <w:rPr>
          <w:rFonts w:ascii="Times New Roman" w:hAnsi="Times New Roman"/>
          <w:b/>
        </w:rPr>
        <w:t xml:space="preserve"> OBRAZOVANJE, KULTURU I SPORT</w:t>
      </w:r>
    </w:p>
    <w:p w:rsidR="00962E92" w:rsidRPr="004C788F" w:rsidRDefault="00962E92" w:rsidP="00962E92">
      <w:pPr>
        <w:pStyle w:val="NoSpacing"/>
        <w:shd w:val="clear" w:color="auto" w:fill="FFFFFF"/>
        <w:rPr>
          <w:rFonts w:ascii="Times New Roman" w:hAnsi="Times New Roman"/>
          <w:b/>
        </w:rPr>
      </w:pPr>
    </w:p>
    <w:p w:rsidR="00BD5B5D" w:rsidRPr="004C788F" w:rsidRDefault="00BD5B5D" w:rsidP="00962E92">
      <w:pPr>
        <w:pStyle w:val="NoSpacing"/>
        <w:shd w:val="clear" w:color="auto" w:fill="FFFFFF"/>
        <w:rPr>
          <w:rFonts w:ascii="Times New Roman" w:hAnsi="Times New Roman"/>
          <w:b/>
        </w:rPr>
      </w:pPr>
    </w:p>
    <w:p w:rsidR="00962E92" w:rsidRPr="004C788F" w:rsidRDefault="00AD65BC" w:rsidP="00962E92">
      <w:pPr>
        <w:pStyle w:val="NoSpacing"/>
        <w:shd w:val="clear" w:color="auto" w:fill="FFFFFF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IZMJENE ZA 20</w:t>
      </w:r>
      <w:r w:rsidR="00656D5A" w:rsidRPr="004C788F">
        <w:rPr>
          <w:rFonts w:ascii="Times New Roman" w:hAnsi="Times New Roman"/>
          <w:b/>
        </w:rPr>
        <w:t>22</w:t>
      </w:r>
      <w:r w:rsidR="00962E92" w:rsidRPr="004C788F">
        <w:rPr>
          <w:rFonts w:ascii="Times New Roman" w:hAnsi="Times New Roman"/>
          <w:b/>
        </w:rPr>
        <w:t>. GODINU</w:t>
      </w:r>
      <w:r w:rsidR="00BD5B5D" w:rsidRPr="004C788F">
        <w:rPr>
          <w:rFonts w:ascii="Times New Roman" w:hAnsi="Times New Roman"/>
          <w:b/>
        </w:rPr>
        <w:t>:</w:t>
      </w:r>
    </w:p>
    <w:p w:rsidR="00962E92" w:rsidRPr="004C788F" w:rsidRDefault="00962E92" w:rsidP="00962E92">
      <w:pPr>
        <w:pStyle w:val="NoSpacing"/>
        <w:shd w:val="clear" w:color="auto" w:fill="FFFFFF"/>
        <w:rPr>
          <w:rFonts w:ascii="Times New Roman" w:hAnsi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"/>
        <w:gridCol w:w="4227"/>
        <w:gridCol w:w="1549"/>
        <w:gridCol w:w="1332"/>
        <w:gridCol w:w="1316"/>
      </w:tblGrid>
      <w:tr w:rsidR="00962E92" w:rsidRPr="004C788F" w:rsidTr="00AD6F2F">
        <w:tc>
          <w:tcPr>
            <w:tcW w:w="640" w:type="dxa"/>
            <w:shd w:val="clear" w:color="auto" w:fill="F2F2F2" w:themeFill="background1" w:themeFillShade="F2"/>
          </w:tcPr>
          <w:p w:rsidR="00962E92" w:rsidRPr="004C788F" w:rsidRDefault="00962E92" w:rsidP="00962E9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Rb</w:t>
            </w:r>
          </w:p>
        </w:tc>
        <w:tc>
          <w:tcPr>
            <w:tcW w:w="4258" w:type="dxa"/>
            <w:shd w:val="clear" w:color="auto" w:fill="F2F2F2" w:themeFill="background1" w:themeFillShade="F2"/>
          </w:tcPr>
          <w:p w:rsidR="00962E92" w:rsidRPr="004C788F" w:rsidRDefault="00656D5A" w:rsidP="00962E9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Naziv programa</w:t>
            </w:r>
          </w:p>
        </w:tc>
        <w:tc>
          <w:tcPr>
            <w:tcW w:w="1549" w:type="dxa"/>
            <w:shd w:val="clear" w:color="auto" w:fill="F2F2F2" w:themeFill="background1" w:themeFillShade="F2"/>
          </w:tcPr>
          <w:p w:rsidR="00962E92" w:rsidRPr="004C788F" w:rsidRDefault="00AD65BC" w:rsidP="00DA42C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PLANIRANO</w:t>
            </w:r>
          </w:p>
        </w:tc>
        <w:tc>
          <w:tcPr>
            <w:tcW w:w="1332" w:type="dxa"/>
            <w:shd w:val="clear" w:color="auto" w:fill="F2F2F2" w:themeFill="background1" w:themeFillShade="F2"/>
          </w:tcPr>
          <w:p w:rsidR="00962E92" w:rsidRPr="004C788F" w:rsidRDefault="00AD65BC" w:rsidP="00DA42C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IZMJENA</w:t>
            </w:r>
          </w:p>
        </w:tc>
        <w:tc>
          <w:tcPr>
            <w:tcW w:w="1316" w:type="dxa"/>
            <w:shd w:val="clear" w:color="auto" w:fill="F2F2F2" w:themeFill="background1" w:themeFillShade="F2"/>
          </w:tcPr>
          <w:p w:rsidR="00962E92" w:rsidRPr="004C788F" w:rsidRDefault="00AD65BC" w:rsidP="00DA42C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NOVI PLAN</w:t>
            </w:r>
            <w:r w:rsidR="00962E92" w:rsidRPr="004C788F">
              <w:rPr>
                <w:rFonts w:ascii="Times New Roman" w:hAnsi="Times New Roman"/>
                <w:b/>
              </w:rPr>
              <w:t>.</w:t>
            </w:r>
          </w:p>
        </w:tc>
      </w:tr>
      <w:tr w:rsidR="00962E92" w:rsidRPr="004C788F" w:rsidTr="00AD6F2F">
        <w:tc>
          <w:tcPr>
            <w:tcW w:w="640" w:type="dxa"/>
            <w:vAlign w:val="center"/>
          </w:tcPr>
          <w:p w:rsidR="00962E92" w:rsidRPr="004C788F" w:rsidRDefault="00962E92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258" w:type="dxa"/>
          </w:tcPr>
          <w:p w:rsidR="00962E92" w:rsidRPr="004C788F" w:rsidRDefault="00175F9A" w:rsidP="00962E92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Pro</w:t>
            </w:r>
            <w:r w:rsidR="00656D5A" w:rsidRPr="004C788F">
              <w:rPr>
                <w:rFonts w:ascii="Times New Roman" w:hAnsi="Times New Roman"/>
                <w:b/>
              </w:rPr>
              <w:t>gram 1200 Promicanje kulture</w:t>
            </w:r>
          </w:p>
        </w:tc>
        <w:tc>
          <w:tcPr>
            <w:tcW w:w="1549" w:type="dxa"/>
            <w:vAlign w:val="center"/>
          </w:tcPr>
          <w:p w:rsidR="00962E92" w:rsidRPr="004C788F" w:rsidRDefault="00371E31" w:rsidP="006C018F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2.235.000</w:t>
            </w:r>
          </w:p>
        </w:tc>
        <w:tc>
          <w:tcPr>
            <w:tcW w:w="1332" w:type="dxa"/>
            <w:vAlign w:val="center"/>
          </w:tcPr>
          <w:p w:rsidR="00962E92" w:rsidRPr="004C788F" w:rsidRDefault="00371E31" w:rsidP="00207F26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-136.800</w:t>
            </w:r>
          </w:p>
        </w:tc>
        <w:tc>
          <w:tcPr>
            <w:tcW w:w="1316" w:type="dxa"/>
            <w:vAlign w:val="center"/>
          </w:tcPr>
          <w:p w:rsidR="00962E92" w:rsidRPr="004C788F" w:rsidRDefault="00371E31" w:rsidP="00207F26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2.098.200</w:t>
            </w:r>
          </w:p>
        </w:tc>
      </w:tr>
      <w:tr w:rsidR="00962E92" w:rsidRPr="004C788F" w:rsidTr="00AD6F2F">
        <w:tc>
          <w:tcPr>
            <w:tcW w:w="640" w:type="dxa"/>
            <w:vAlign w:val="center"/>
          </w:tcPr>
          <w:p w:rsidR="00962E92" w:rsidRPr="004C788F" w:rsidRDefault="00962E92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962E92" w:rsidRPr="004C788F" w:rsidRDefault="00656D5A" w:rsidP="00656D5A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 A120001 Program javnih potreba u kulturi</w:t>
            </w:r>
          </w:p>
        </w:tc>
        <w:tc>
          <w:tcPr>
            <w:tcW w:w="1549" w:type="dxa"/>
            <w:vAlign w:val="center"/>
          </w:tcPr>
          <w:p w:rsidR="00962E92" w:rsidRPr="004C788F" w:rsidRDefault="00656D5A" w:rsidP="00371E31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1.000.000</w:t>
            </w:r>
          </w:p>
        </w:tc>
        <w:tc>
          <w:tcPr>
            <w:tcW w:w="1332" w:type="dxa"/>
            <w:vAlign w:val="center"/>
          </w:tcPr>
          <w:p w:rsidR="00962E92" w:rsidRPr="004C788F" w:rsidRDefault="00962E92" w:rsidP="007C18A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962E92" w:rsidRPr="004C788F" w:rsidRDefault="00656D5A" w:rsidP="00371E31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</w:rPr>
              <w:t>1.000.000</w:t>
            </w:r>
          </w:p>
        </w:tc>
      </w:tr>
      <w:tr w:rsidR="00962E92" w:rsidRPr="004C788F" w:rsidTr="00AD6F2F">
        <w:tc>
          <w:tcPr>
            <w:tcW w:w="640" w:type="dxa"/>
            <w:vAlign w:val="center"/>
          </w:tcPr>
          <w:p w:rsidR="00962E92" w:rsidRPr="004C788F" w:rsidRDefault="00962E92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962E92" w:rsidRPr="004C788F" w:rsidRDefault="00371E31" w:rsidP="00962E92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A120002 Financiranje rada Dubrovačkih ljetnih igara</w:t>
            </w:r>
          </w:p>
        </w:tc>
        <w:tc>
          <w:tcPr>
            <w:tcW w:w="1549" w:type="dxa"/>
            <w:vAlign w:val="center"/>
          </w:tcPr>
          <w:p w:rsidR="00962E92" w:rsidRPr="004C788F" w:rsidRDefault="00371E31" w:rsidP="00371E31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300.000</w:t>
            </w:r>
          </w:p>
        </w:tc>
        <w:tc>
          <w:tcPr>
            <w:tcW w:w="1332" w:type="dxa"/>
            <w:vAlign w:val="center"/>
          </w:tcPr>
          <w:p w:rsidR="00371E31" w:rsidRPr="004C788F" w:rsidRDefault="00371E31" w:rsidP="00371E31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316" w:type="dxa"/>
            <w:vAlign w:val="center"/>
          </w:tcPr>
          <w:p w:rsidR="00962E92" w:rsidRPr="004C788F" w:rsidRDefault="00371E31" w:rsidP="00A26930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300.000</w:t>
            </w:r>
          </w:p>
        </w:tc>
      </w:tr>
      <w:tr w:rsidR="00175F9A" w:rsidRPr="004C788F" w:rsidTr="00AD6F2F">
        <w:tc>
          <w:tcPr>
            <w:tcW w:w="640" w:type="dxa"/>
            <w:vAlign w:val="center"/>
          </w:tcPr>
          <w:p w:rsidR="00175F9A" w:rsidRPr="004C788F" w:rsidRDefault="00175F9A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175F9A" w:rsidRPr="004C788F" w:rsidRDefault="00371E31" w:rsidP="00371E31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A120003 Financiranje rada Zavoda za obnovu Dubrovnika</w:t>
            </w:r>
          </w:p>
        </w:tc>
        <w:tc>
          <w:tcPr>
            <w:tcW w:w="1549" w:type="dxa"/>
            <w:vAlign w:val="center"/>
          </w:tcPr>
          <w:p w:rsidR="00175F9A" w:rsidRPr="004C788F" w:rsidRDefault="00371E31" w:rsidP="00A0250B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250.000</w:t>
            </w:r>
          </w:p>
        </w:tc>
        <w:tc>
          <w:tcPr>
            <w:tcW w:w="1332" w:type="dxa"/>
            <w:vAlign w:val="center"/>
          </w:tcPr>
          <w:p w:rsidR="00175F9A" w:rsidRPr="004C788F" w:rsidRDefault="00175F9A" w:rsidP="00A0250B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175F9A" w:rsidRPr="004C788F" w:rsidRDefault="00371E31" w:rsidP="00A0250B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250.000</w:t>
            </w:r>
          </w:p>
        </w:tc>
      </w:tr>
      <w:tr w:rsidR="00175F9A" w:rsidRPr="004C788F" w:rsidTr="00AD6F2F">
        <w:tc>
          <w:tcPr>
            <w:tcW w:w="640" w:type="dxa"/>
            <w:vAlign w:val="center"/>
          </w:tcPr>
          <w:p w:rsidR="00175F9A" w:rsidRPr="004C788F" w:rsidRDefault="00175F9A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175F9A" w:rsidRPr="004C788F" w:rsidRDefault="00371E31" w:rsidP="00962E92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 xml:space="preserve">Aktivnost A120004 Zaštita, očuvanje i opremanje kulturnih i sakralnih dobara </w:t>
            </w:r>
          </w:p>
        </w:tc>
        <w:tc>
          <w:tcPr>
            <w:tcW w:w="1549" w:type="dxa"/>
            <w:vAlign w:val="center"/>
          </w:tcPr>
          <w:p w:rsidR="00175F9A" w:rsidRPr="004C788F" w:rsidRDefault="00371E31" w:rsidP="006C018F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300.000</w:t>
            </w:r>
          </w:p>
        </w:tc>
        <w:tc>
          <w:tcPr>
            <w:tcW w:w="1332" w:type="dxa"/>
            <w:vAlign w:val="center"/>
          </w:tcPr>
          <w:p w:rsidR="00175F9A" w:rsidRPr="004C788F" w:rsidRDefault="00371E31" w:rsidP="00925AE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-136.800</w:t>
            </w:r>
          </w:p>
        </w:tc>
        <w:tc>
          <w:tcPr>
            <w:tcW w:w="1316" w:type="dxa"/>
            <w:vAlign w:val="center"/>
          </w:tcPr>
          <w:p w:rsidR="00175F9A" w:rsidRPr="004C788F" w:rsidRDefault="00371E31" w:rsidP="00925AE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163.200</w:t>
            </w:r>
          </w:p>
        </w:tc>
      </w:tr>
      <w:tr w:rsidR="00175F9A" w:rsidRPr="004C788F" w:rsidTr="00AD6F2F">
        <w:tc>
          <w:tcPr>
            <w:tcW w:w="640" w:type="dxa"/>
            <w:vAlign w:val="center"/>
          </w:tcPr>
          <w:p w:rsidR="00175F9A" w:rsidRPr="004C788F" w:rsidRDefault="00175F9A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175F9A" w:rsidRPr="004C788F" w:rsidRDefault="00371E31" w:rsidP="00962E92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A120005 Financiranje rada Zajednice tehničke kulture</w:t>
            </w:r>
          </w:p>
        </w:tc>
        <w:tc>
          <w:tcPr>
            <w:tcW w:w="1549" w:type="dxa"/>
            <w:vAlign w:val="center"/>
          </w:tcPr>
          <w:p w:rsidR="00175F9A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230.000</w:t>
            </w:r>
          </w:p>
        </w:tc>
        <w:tc>
          <w:tcPr>
            <w:tcW w:w="1332" w:type="dxa"/>
            <w:vAlign w:val="center"/>
          </w:tcPr>
          <w:p w:rsidR="00175F9A" w:rsidRPr="004C788F" w:rsidRDefault="00175F9A" w:rsidP="003E0C53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175F9A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230.000</w:t>
            </w:r>
          </w:p>
        </w:tc>
      </w:tr>
      <w:tr w:rsidR="00207F26" w:rsidRPr="004C788F" w:rsidTr="00AD6F2F">
        <w:tc>
          <w:tcPr>
            <w:tcW w:w="640" w:type="dxa"/>
            <w:vAlign w:val="center"/>
          </w:tcPr>
          <w:p w:rsidR="00207F26" w:rsidRPr="004C788F" w:rsidRDefault="00207F26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07F26" w:rsidRPr="004C788F" w:rsidRDefault="00371E31" w:rsidP="00962E92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A120006 Financiranje Maratona lađa</w:t>
            </w:r>
          </w:p>
        </w:tc>
        <w:tc>
          <w:tcPr>
            <w:tcW w:w="1549" w:type="dxa"/>
            <w:vAlign w:val="center"/>
          </w:tcPr>
          <w:p w:rsidR="00207F26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155.000</w:t>
            </w:r>
          </w:p>
        </w:tc>
        <w:tc>
          <w:tcPr>
            <w:tcW w:w="1332" w:type="dxa"/>
            <w:vAlign w:val="center"/>
          </w:tcPr>
          <w:p w:rsidR="00207F26" w:rsidRPr="004C788F" w:rsidRDefault="00207F26" w:rsidP="003E0C53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207F26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155.000</w:t>
            </w:r>
          </w:p>
        </w:tc>
      </w:tr>
      <w:tr w:rsidR="00207F26" w:rsidRPr="004C788F" w:rsidTr="00AD6F2F">
        <w:tc>
          <w:tcPr>
            <w:tcW w:w="640" w:type="dxa"/>
            <w:vAlign w:val="center"/>
          </w:tcPr>
          <w:p w:rsidR="00207F26" w:rsidRPr="004C788F" w:rsidRDefault="00371E31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258" w:type="dxa"/>
          </w:tcPr>
          <w:p w:rsidR="00207F26" w:rsidRPr="004C788F" w:rsidRDefault="00371E31" w:rsidP="00962E92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Program 1201 Razvoj športa i rekreacije</w:t>
            </w:r>
          </w:p>
        </w:tc>
        <w:tc>
          <w:tcPr>
            <w:tcW w:w="1549" w:type="dxa"/>
            <w:vAlign w:val="center"/>
          </w:tcPr>
          <w:p w:rsidR="00207F26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2.000.000</w:t>
            </w:r>
          </w:p>
        </w:tc>
        <w:tc>
          <w:tcPr>
            <w:tcW w:w="1332" w:type="dxa"/>
            <w:vAlign w:val="center"/>
          </w:tcPr>
          <w:p w:rsidR="00207F26" w:rsidRPr="004C788F" w:rsidRDefault="00207F26" w:rsidP="003E0C53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316" w:type="dxa"/>
            <w:vAlign w:val="center"/>
          </w:tcPr>
          <w:p w:rsidR="00207F26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2.000.000</w:t>
            </w:r>
          </w:p>
        </w:tc>
      </w:tr>
      <w:tr w:rsidR="00207F26" w:rsidRPr="004C788F" w:rsidTr="00AD6F2F">
        <w:tc>
          <w:tcPr>
            <w:tcW w:w="640" w:type="dxa"/>
            <w:vAlign w:val="center"/>
          </w:tcPr>
          <w:p w:rsidR="00207F26" w:rsidRPr="004C788F" w:rsidRDefault="00207F26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07F26" w:rsidRPr="004C788F" w:rsidRDefault="00371E31" w:rsidP="00371E31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AA120101 Financiranje rada zajednice športa Dubrovačko-neretvanske županije</w:t>
            </w:r>
          </w:p>
        </w:tc>
        <w:tc>
          <w:tcPr>
            <w:tcW w:w="1549" w:type="dxa"/>
            <w:vAlign w:val="center"/>
          </w:tcPr>
          <w:p w:rsidR="00207F26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2.000.000</w:t>
            </w:r>
          </w:p>
        </w:tc>
        <w:tc>
          <w:tcPr>
            <w:tcW w:w="1332" w:type="dxa"/>
            <w:vAlign w:val="center"/>
          </w:tcPr>
          <w:p w:rsidR="00207F26" w:rsidRPr="004C788F" w:rsidRDefault="00207F26" w:rsidP="003E0C53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207F26" w:rsidRPr="004C788F" w:rsidRDefault="00371E31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2.000.000</w:t>
            </w:r>
          </w:p>
        </w:tc>
      </w:tr>
      <w:tr w:rsidR="00207F26" w:rsidRPr="004C788F" w:rsidTr="00AD6F2F">
        <w:tc>
          <w:tcPr>
            <w:tcW w:w="640" w:type="dxa"/>
            <w:vAlign w:val="center"/>
          </w:tcPr>
          <w:p w:rsidR="00207F26" w:rsidRPr="004C788F" w:rsidRDefault="000060A3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258" w:type="dxa"/>
          </w:tcPr>
          <w:p w:rsidR="00207F26" w:rsidRPr="004C788F" w:rsidRDefault="000060A3" w:rsidP="00962E92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Program 1202 Odgoj i obrazovanje</w:t>
            </w:r>
          </w:p>
        </w:tc>
        <w:tc>
          <w:tcPr>
            <w:tcW w:w="1549" w:type="dxa"/>
            <w:vAlign w:val="center"/>
          </w:tcPr>
          <w:p w:rsidR="00207F26" w:rsidRPr="004C788F" w:rsidRDefault="000B1C19" w:rsidP="003E0C53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5.892.000</w:t>
            </w:r>
          </w:p>
        </w:tc>
        <w:tc>
          <w:tcPr>
            <w:tcW w:w="1332" w:type="dxa"/>
            <w:vAlign w:val="center"/>
          </w:tcPr>
          <w:p w:rsidR="00207F26" w:rsidRPr="004C788F" w:rsidRDefault="000E47D8" w:rsidP="003E0C53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+270.000</w:t>
            </w:r>
          </w:p>
        </w:tc>
        <w:tc>
          <w:tcPr>
            <w:tcW w:w="1316" w:type="dxa"/>
            <w:vAlign w:val="center"/>
          </w:tcPr>
          <w:p w:rsidR="00207F26" w:rsidRPr="004C788F" w:rsidRDefault="000E47D8" w:rsidP="003E0C53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6.162.000</w:t>
            </w:r>
          </w:p>
        </w:tc>
      </w:tr>
      <w:tr w:rsidR="00207F26" w:rsidRPr="004C788F" w:rsidTr="00AD6F2F">
        <w:tc>
          <w:tcPr>
            <w:tcW w:w="640" w:type="dxa"/>
            <w:vAlign w:val="center"/>
          </w:tcPr>
          <w:p w:rsidR="00207F26" w:rsidRPr="004C788F" w:rsidRDefault="00207F26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07F26" w:rsidRPr="004C788F" w:rsidRDefault="000060A3" w:rsidP="00962E92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A120202 Športska natjecanja učenika</w:t>
            </w:r>
          </w:p>
        </w:tc>
        <w:tc>
          <w:tcPr>
            <w:tcW w:w="1549" w:type="dxa"/>
            <w:vAlign w:val="center"/>
          </w:tcPr>
          <w:p w:rsidR="00207F26" w:rsidRPr="004C788F" w:rsidRDefault="000060A3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330.000</w:t>
            </w:r>
          </w:p>
        </w:tc>
        <w:tc>
          <w:tcPr>
            <w:tcW w:w="1332" w:type="dxa"/>
            <w:vAlign w:val="center"/>
          </w:tcPr>
          <w:p w:rsidR="00207F26" w:rsidRPr="004C788F" w:rsidRDefault="00207F26" w:rsidP="003E0C53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207F26" w:rsidRPr="004C788F" w:rsidRDefault="000060A3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330.000</w:t>
            </w:r>
          </w:p>
        </w:tc>
      </w:tr>
      <w:tr w:rsidR="00207F26" w:rsidRPr="004C788F" w:rsidTr="00AD6F2F">
        <w:tc>
          <w:tcPr>
            <w:tcW w:w="640" w:type="dxa"/>
            <w:vAlign w:val="center"/>
          </w:tcPr>
          <w:p w:rsidR="00207F26" w:rsidRPr="004C788F" w:rsidRDefault="00207F26" w:rsidP="00C93A34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07F26" w:rsidRPr="004C788F" w:rsidRDefault="000060A3" w:rsidP="00962E92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A120203 Sufinanciranje prijevoza učenika srednjih škola</w:t>
            </w:r>
          </w:p>
        </w:tc>
        <w:tc>
          <w:tcPr>
            <w:tcW w:w="1549" w:type="dxa"/>
            <w:vAlign w:val="center"/>
          </w:tcPr>
          <w:p w:rsidR="00207F26" w:rsidRPr="004C788F" w:rsidRDefault="001351AA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4.400.000</w:t>
            </w:r>
          </w:p>
        </w:tc>
        <w:tc>
          <w:tcPr>
            <w:tcW w:w="1332" w:type="dxa"/>
            <w:vAlign w:val="center"/>
          </w:tcPr>
          <w:p w:rsidR="00207F26" w:rsidRPr="004C788F" w:rsidRDefault="009C6930" w:rsidP="003E0C5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+320.000</w:t>
            </w:r>
          </w:p>
        </w:tc>
        <w:tc>
          <w:tcPr>
            <w:tcW w:w="1316" w:type="dxa"/>
            <w:vAlign w:val="center"/>
          </w:tcPr>
          <w:p w:rsidR="00207F26" w:rsidRPr="004C788F" w:rsidRDefault="001351AA" w:rsidP="009C6930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4.</w:t>
            </w:r>
            <w:r w:rsidR="009C6930" w:rsidRPr="004C788F">
              <w:rPr>
                <w:rFonts w:ascii="Times New Roman" w:hAnsi="Times New Roman"/>
              </w:rPr>
              <w:t>720</w:t>
            </w:r>
            <w:r w:rsidRPr="004C788F">
              <w:rPr>
                <w:rFonts w:ascii="Times New Roman" w:hAnsi="Times New Roman"/>
              </w:rPr>
              <w:t>.000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B1C19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A120204 Stipendiranje učenika i studenata</w:t>
            </w:r>
          </w:p>
        </w:tc>
        <w:tc>
          <w:tcPr>
            <w:tcW w:w="1549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890.000</w:t>
            </w:r>
          </w:p>
        </w:tc>
        <w:tc>
          <w:tcPr>
            <w:tcW w:w="1332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890.000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B1C19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A120209 Potpora razvoja dislociranim učilištima</w:t>
            </w:r>
          </w:p>
        </w:tc>
        <w:tc>
          <w:tcPr>
            <w:tcW w:w="1549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50.000</w:t>
            </w:r>
          </w:p>
        </w:tc>
        <w:tc>
          <w:tcPr>
            <w:tcW w:w="1332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-50.000</w:t>
            </w:r>
          </w:p>
        </w:tc>
        <w:tc>
          <w:tcPr>
            <w:tcW w:w="1316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0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B1C19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Kapitalni projekt K120208 Kapitalni projekti u školstvu</w:t>
            </w:r>
          </w:p>
        </w:tc>
        <w:tc>
          <w:tcPr>
            <w:tcW w:w="1549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200.000</w:t>
            </w:r>
          </w:p>
        </w:tc>
        <w:tc>
          <w:tcPr>
            <w:tcW w:w="1332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200.000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B1C19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Tekući projekt T120207 Školski medni dan s hrvatskih pašnjaka</w:t>
            </w:r>
          </w:p>
        </w:tc>
        <w:tc>
          <w:tcPr>
            <w:tcW w:w="1549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22.000</w:t>
            </w:r>
          </w:p>
        </w:tc>
        <w:tc>
          <w:tcPr>
            <w:tcW w:w="1332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22.000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258" w:type="dxa"/>
          </w:tcPr>
          <w:p w:rsidR="000B1C19" w:rsidRPr="004C788F" w:rsidRDefault="000B1C19" w:rsidP="000B1C19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Program 1206 EU projekti UO za obrazovanje, kulturu i sport</w:t>
            </w:r>
          </w:p>
        </w:tc>
        <w:tc>
          <w:tcPr>
            <w:tcW w:w="1549" w:type="dxa"/>
            <w:vAlign w:val="center"/>
          </w:tcPr>
          <w:p w:rsidR="000B1C19" w:rsidRPr="004C788F" w:rsidRDefault="00F65765" w:rsidP="00A65ED8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11.</w:t>
            </w:r>
            <w:r w:rsidR="00A65ED8" w:rsidRPr="004C788F">
              <w:rPr>
                <w:rFonts w:ascii="Times New Roman" w:hAnsi="Times New Roman"/>
                <w:b/>
              </w:rPr>
              <w:t>514.578</w:t>
            </w:r>
          </w:p>
        </w:tc>
        <w:tc>
          <w:tcPr>
            <w:tcW w:w="1332" w:type="dxa"/>
            <w:vAlign w:val="center"/>
          </w:tcPr>
          <w:p w:rsidR="000B1C19" w:rsidRPr="004C788F" w:rsidRDefault="00F65765" w:rsidP="005B0702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+</w:t>
            </w:r>
            <w:r w:rsidR="005B0702" w:rsidRPr="004C788F">
              <w:rPr>
                <w:rFonts w:ascii="Times New Roman" w:hAnsi="Times New Roman"/>
                <w:b/>
              </w:rPr>
              <w:t>1.151.730</w:t>
            </w:r>
          </w:p>
        </w:tc>
        <w:tc>
          <w:tcPr>
            <w:tcW w:w="1316" w:type="dxa"/>
            <w:vAlign w:val="center"/>
          </w:tcPr>
          <w:p w:rsidR="000B1C19" w:rsidRPr="004C788F" w:rsidRDefault="00F65765" w:rsidP="005B0702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12.</w:t>
            </w:r>
            <w:r w:rsidR="005B0702" w:rsidRPr="004C788F">
              <w:rPr>
                <w:rFonts w:ascii="Times New Roman" w:hAnsi="Times New Roman"/>
                <w:b/>
              </w:rPr>
              <w:t>666.308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E47D8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Kapitalni projekt K120601 Regionalni centar kompententnosti u turizmu i ugostiteljstvu Dubrovnik</w:t>
            </w:r>
          </w:p>
        </w:tc>
        <w:tc>
          <w:tcPr>
            <w:tcW w:w="1549" w:type="dxa"/>
            <w:vAlign w:val="center"/>
          </w:tcPr>
          <w:p w:rsidR="000B1C19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2.472.650</w:t>
            </w:r>
          </w:p>
        </w:tc>
        <w:tc>
          <w:tcPr>
            <w:tcW w:w="1332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0B1C19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2.472.650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E47D8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Kapitalni projekt K120603 Fondovi EU-Ruralno poučna kulturno-etnografska turistička atrakcija</w:t>
            </w:r>
          </w:p>
        </w:tc>
        <w:tc>
          <w:tcPr>
            <w:tcW w:w="1549" w:type="dxa"/>
            <w:vAlign w:val="center"/>
          </w:tcPr>
          <w:p w:rsidR="000B1C19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6.201.130</w:t>
            </w:r>
          </w:p>
        </w:tc>
        <w:tc>
          <w:tcPr>
            <w:tcW w:w="1332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0B1C19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6.201.130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E47D8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Tekući projekt T120602 Europski socijalni fond – Projekt ZAJEDNO MOŽEMO SVE VOL.5 – pomoćnik u nastavi</w:t>
            </w:r>
          </w:p>
        </w:tc>
        <w:tc>
          <w:tcPr>
            <w:tcW w:w="1549" w:type="dxa"/>
            <w:vAlign w:val="center"/>
          </w:tcPr>
          <w:p w:rsidR="000B1C19" w:rsidRPr="004C788F" w:rsidRDefault="002E3443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2.840.798</w:t>
            </w:r>
          </w:p>
        </w:tc>
        <w:tc>
          <w:tcPr>
            <w:tcW w:w="1332" w:type="dxa"/>
            <w:vAlign w:val="center"/>
          </w:tcPr>
          <w:p w:rsidR="000B1C19" w:rsidRPr="004C788F" w:rsidRDefault="00062B32" w:rsidP="002E3443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+1.151.730</w:t>
            </w:r>
          </w:p>
        </w:tc>
        <w:tc>
          <w:tcPr>
            <w:tcW w:w="1316" w:type="dxa"/>
            <w:vAlign w:val="center"/>
          </w:tcPr>
          <w:p w:rsidR="000B1C19" w:rsidRPr="004C788F" w:rsidRDefault="00062B3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3.992.528</w:t>
            </w:r>
          </w:p>
        </w:tc>
      </w:tr>
      <w:tr w:rsidR="00EC541F" w:rsidRPr="004C788F" w:rsidTr="00AD6F2F">
        <w:tc>
          <w:tcPr>
            <w:tcW w:w="640" w:type="dxa"/>
            <w:vAlign w:val="center"/>
          </w:tcPr>
          <w:p w:rsidR="00EC541F" w:rsidRPr="004C788F" w:rsidRDefault="00EC541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lastRenderedPageBreak/>
              <w:t>5.</w:t>
            </w:r>
          </w:p>
        </w:tc>
        <w:tc>
          <w:tcPr>
            <w:tcW w:w="4258" w:type="dxa"/>
          </w:tcPr>
          <w:p w:rsidR="00EC541F" w:rsidRPr="004C788F" w:rsidRDefault="00EC541F" w:rsidP="000B1C19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Program 1207 Zakonski standard ustanova u obrazovanju</w:t>
            </w:r>
          </w:p>
        </w:tc>
        <w:tc>
          <w:tcPr>
            <w:tcW w:w="1549" w:type="dxa"/>
            <w:vAlign w:val="center"/>
          </w:tcPr>
          <w:p w:rsidR="00EC541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283.420.535</w:t>
            </w:r>
          </w:p>
        </w:tc>
        <w:tc>
          <w:tcPr>
            <w:tcW w:w="1332" w:type="dxa"/>
            <w:vAlign w:val="center"/>
          </w:tcPr>
          <w:p w:rsidR="00EC541F" w:rsidRPr="0060409A" w:rsidRDefault="00AD6F2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60409A">
              <w:rPr>
                <w:rFonts w:ascii="Times New Roman" w:hAnsi="Times New Roman"/>
                <w:b/>
              </w:rPr>
              <w:t>+10.594.217</w:t>
            </w:r>
          </w:p>
        </w:tc>
        <w:tc>
          <w:tcPr>
            <w:tcW w:w="1316" w:type="dxa"/>
            <w:vAlign w:val="center"/>
          </w:tcPr>
          <w:p w:rsidR="00EC541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294.014.752</w:t>
            </w:r>
          </w:p>
        </w:tc>
      </w:tr>
      <w:tr w:rsidR="00A9693D" w:rsidRPr="004C788F" w:rsidTr="00AD6F2F">
        <w:tc>
          <w:tcPr>
            <w:tcW w:w="640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9693D" w:rsidRPr="004C788F" w:rsidRDefault="00A9693D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A120701 Osiguravanje uvjeta za redovno poslovanje osnovnih škola</w:t>
            </w:r>
          </w:p>
        </w:tc>
        <w:tc>
          <w:tcPr>
            <w:tcW w:w="1549" w:type="dxa"/>
            <w:vAlign w:val="center"/>
          </w:tcPr>
          <w:p w:rsidR="00A9693D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156.728.091</w:t>
            </w:r>
          </w:p>
        </w:tc>
        <w:tc>
          <w:tcPr>
            <w:tcW w:w="1332" w:type="dxa"/>
            <w:vAlign w:val="center"/>
          </w:tcPr>
          <w:p w:rsidR="00A9693D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+2.853.779</w:t>
            </w:r>
          </w:p>
        </w:tc>
        <w:tc>
          <w:tcPr>
            <w:tcW w:w="1316" w:type="dxa"/>
            <w:vAlign w:val="center"/>
          </w:tcPr>
          <w:p w:rsidR="00A9693D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159.581.870</w:t>
            </w:r>
          </w:p>
        </w:tc>
      </w:tr>
      <w:tr w:rsidR="00A9693D" w:rsidRPr="004C788F" w:rsidTr="00AD6F2F">
        <w:tc>
          <w:tcPr>
            <w:tcW w:w="640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9693D" w:rsidRPr="004C788F" w:rsidRDefault="00A9693D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A12070 Investicijska ulaganja u osnovne škole</w:t>
            </w:r>
          </w:p>
        </w:tc>
        <w:tc>
          <w:tcPr>
            <w:tcW w:w="1549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1.546.081</w:t>
            </w:r>
          </w:p>
        </w:tc>
        <w:tc>
          <w:tcPr>
            <w:tcW w:w="1332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1.546.081</w:t>
            </w:r>
          </w:p>
        </w:tc>
      </w:tr>
      <w:tr w:rsidR="00AD6F2F" w:rsidRPr="004C788F" w:rsidTr="00AD6F2F">
        <w:tc>
          <w:tcPr>
            <w:tcW w:w="640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D6F2F" w:rsidRPr="004C788F" w:rsidRDefault="00AD6F2F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A120704 Osiguravanje uvjeta rada za redovno poslovanje srednjih škola i učeničkih domova</w:t>
            </w:r>
          </w:p>
        </w:tc>
        <w:tc>
          <w:tcPr>
            <w:tcW w:w="1549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115.891.810</w:t>
            </w:r>
          </w:p>
        </w:tc>
        <w:tc>
          <w:tcPr>
            <w:tcW w:w="1332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+7.757.906</w:t>
            </w:r>
          </w:p>
        </w:tc>
        <w:tc>
          <w:tcPr>
            <w:tcW w:w="1316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123.649.716</w:t>
            </w:r>
          </w:p>
        </w:tc>
      </w:tr>
      <w:tr w:rsidR="00AD6F2F" w:rsidRPr="004C788F" w:rsidTr="00AD6F2F">
        <w:tc>
          <w:tcPr>
            <w:tcW w:w="640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D6F2F" w:rsidRPr="004C788F" w:rsidRDefault="00AD6F2F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A120705 Smještaj i prehrana učenika u učeničkom domu</w:t>
            </w:r>
          </w:p>
        </w:tc>
        <w:tc>
          <w:tcPr>
            <w:tcW w:w="1549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2.034.900</w:t>
            </w:r>
          </w:p>
        </w:tc>
        <w:tc>
          <w:tcPr>
            <w:tcW w:w="1332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2.034.900</w:t>
            </w:r>
          </w:p>
        </w:tc>
      </w:tr>
      <w:tr w:rsidR="00AD6F2F" w:rsidRPr="004C788F" w:rsidTr="00AD6F2F">
        <w:tc>
          <w:tcPr>
            <w:tcW w:w="640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D6F2F" w:rsidRPr="004C788F" w:rsidRDefault="00AD6F2F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A120706 Investicijska ulaganja u srednje škole i učeničke domove</w:t>
            </w:r>
          </w:p>
        </w:tc>
        <w:tc>
          <w:tcPr>
            <w:tcW w:w="1549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2.523.931</w:t>
            </w:r>
          </w:p>
        </w:tc>
        <w:tc>
          <w:tcPr>
            <w:tcW w:w="1332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-757.338</w:t>
            </w:r>
          </w:p>
        </w:tc>
        <w:tc>
          <w:tcPr>
            <w:tcW w:w="1316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1.766.593</w:t>
            </w:r>
          </w:p>
        </w:tc>
      </w:tr>
      <w:tr w:rsidR="00A9693D" w:rsidRPr="004C788F" w:rsidTr="00AD6F2F">
        <w:tc>
          <w:tcPr>
            <w:tcW w:w="640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9693D" w:rsidRPr="004C788F" w:rsidRDefault="00AD6F2F" w:rsidP="00A9693D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 xml:space="preserve">Kapitalni projekt </w:t>
            </w:r>
            <w:r w:rsidR="00A9693D" w:rsidRPr="004C788F">
              <w:rPr>
                <w:rFonts w:ascii="Times New Roman" w:hAnsi="Times New Roman"/>
              </w:rPr>
              <w:t xml:space="preserve"> K120703 Kapitalna ulaganja u osnovne škole</w:t>
            </w:r>
          </w:p>
        </w:tc>
        <w:tc>
          <w:tcPr>
            <w:tcW w:w="1549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3.102.984</w:t>
            </w:r>
          </w:p>
        </w:tc>
        <w:tc>
          <w:tcPr>
            <w:tcW w:w="1332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3.102.984</w:t>
            </w:r>
          </w:p>
        </w:tc>
      </w:tr>
      <w:tr w:rsidR="00A9693D" w:rsidRPr="004C788F" w:rsidTr="00AD6F2F">
        <w:tc>
          <w:tcPr>
            <w:tcW w:w="640" w:type="dxa"/>
            <w:vAlign w:val="center"/>
          </w:tcPr>
          <w:p w:rsidR="00A9693D" w:rsidRPr="004C788F" w:rsidRDefault="00A9693D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9693D" w:rsidRPr="004C788F" w:rsidRDefault="00AD6F2F" w:rsidP="00AD6F2F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Kapitalni projekt</w:t>
            </w:r>
            <w:r w:rsidR="003B5A9E" w:rsidRPr="004C788F">
              <w:rPr>
                <w:rFonts w:ascii="Times New Roman" w:hAnsi="Times New Roman"/>
              </w:rPr>
              <w:t xml:space="preserve"> </w:t>
            </w:r>
            <w:r w:rsidR="00A9693D" w:rsidRPr="004C788F">
              <w:rPr>
                <w:rFonts w:ascii="Times New Roman" w:hAnsi="Times New Roman"/>
              </w:rPr>
              <w:t>K120707</w:t>
            </w:r>
            <w:r w:rsidRPr="004C788F">
              <w:rPr>
                <w:rFonts w:ascii="Times New Roman" w:hAnsi="Times New Roman"/>
              </w:rPr>
              <w:t xml:space="preserve"> </w:t>
            </w:r>
            <w:r w:rsidR="00A9693D" w:rsidRPr="004C788F">
              <w:rPr>
                <w:rFonts w:ascii="Times New Roman" w:hAnsi="Times New Roman"/>
              </w:rPr>
              <w:t>Kapitalna ulaganja u srednje škole i učeničke domove</w:t>
            </w:r>
          </w:p>
        </w:tc>
        <w:tc>
          <w:tcPr>
            <w:tcW w:w="1549" w:type="dxa"/>
            <w:vAlign w:val="center"/>
          </w:tcPr>
          <w:p w:rsidR="00A9693D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1.390.782</w:t>
            </w:r>
          </w:p>
        </w:tc>
        <w:tc>
          <w:tcPr>
            <w:tcW w:w="1332" w:type="dxa"/>
            <w:vAlign w:val="center"/>
          </w:tcPr>
          <w:p w:rsidR="00A9693D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+747.338</w:t>
            </w:r>
          </w:p>
        </w:tc>
        <w:tc>
          <w:tcPr>
            <w:tcW w:w="1316" w:type="dxa"/>
            <w:vAlign w:val="center"/>
          </w:tcPr>
          <w:p w:rsidR="00A9693D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2.138.120</w:t>
            </w:r>
          </w:p>
        </w:tc>
      </w:tr>
      <w:tr w:rsidR="00AD6F2F" w:rsidRPr="004C788F" w:rsidTr="00AD6F2F">
        <w:tc>
          <w:tcPr>
            <w:tcW w:w="640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AD6F2F" w:rsidRPr="004C788F" w:rsidRDefault="00AD6F2F" w:rsidP="00AD6F2F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Tekući projekt T120708 Školska shema voća i mlijeka</w:t>
            </w:r>
          </w:p>
        </w:tc>
        <w:tc>
          <w:tcPr>
            <w:tcW w:w="1549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201.956</w:t>
            </w:r>
          </w:p>
        </w:tc>
        <w:tc>
          <w:tcPr>
            <w:tcW w:w="1332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-7.468</w:t>
            </w:r>
          </w:p>
        </w:tc>
        <w:tc>
          <w:tcPr>
            <w:tcW w:w="1316" w:type="dxa"/>
            <w:vAlign w:val="center"/>
          </w:tcPr>
          <w:p w:rsidR="00AD6F2F" w:rsidRPr="004C788F" w:rsidRDefault="00AD6F2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194.488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A65ED8" w:rsidP="00A65ED8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6</w:t>
            </w:r>
            <w:r w:rsidR="00BD7A18" w:rsidRPr="004C788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258" w:type="dxa"/>
          </w:tcPr>
          <w:p w:rsidR="000B1C19" w:rsidRPr="004C788F" w:rsidRDefault="00BD7A18" w:rsidP="000B1C19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Program 1208 Program ustanova u obrazovanju iznad standarda</w:t>
            </w:r>
          </w:p>
        </w:tc>
        <w:tc>
          <w:tcPr>
            <w:tcW w:w="1549" w:type="dxa"/>
            <w:vAlign w:val="center"/>
          </w:tcPr>
          <w:p w:rsidR="000B1C19" w:rsidRPr="004C788F" w:rsidRDefault="00D262F3" w:rsidP="009A0DF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87.480.142</w:t>
            </w:r>
          </w:p>
        </w:tc>
        <w:tc>
          <w:tcPr>
            <w:tcW w:w="1332" w:type="dxa"/>
            <w:vAlign w:val="center"/>
          </w:tcPr>
          <w:p w:rsidR="000B1C19" w:rsidRPr="004C788F" w:rsidRDefault="00D262F3" w:rsidP="00D262F3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-17.014.201</w:t>
            </w:r>
          </w:p>
        </w:tc>
        <w:tc>
          <w:tcPr>
            <w:tcW w:w="1316" w:type="dxa"/>
            <w:vAlign w:val="center"/>
          </w:tcPr>
          <w:p w:rsidR="000B1C19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70.465.941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BD7A18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A120801 Poticanje demografskog razvitka</w:t>
            </w:r>
          </w:p>
        </w:tc>
        <w:tc>
          <w:tcPr>
            <w:tcW w:w="1549" w:type="dxa"/>
            <w:vAlign w:val="center"/>
          </w:tcPr>
          <w:p w:rsidR="000B1C19" w:rsidRPr="004C788F" w:rsidRDefault="00160647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2.500.000</w:t>
            </w:r>
          </w:p>
        </w:tc>
        <w:tc>
          <w:tcPr>
            <w:tcW w:w="1332" w:type="dxa"/>
            <w:vAlign w:val="center"/>
          </w:tcPr>
          <w:p w:rsidR="000B1C19" w:rsidRPr="004C788F" w:rsidRDefault="00160647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+536.800</w:t>
            </w:r>
          </w:p>
        </w:tc>
        <w:tc>
          <w:tcPr>
            <w:tcW w:w="1316" w:type="dxa"/>
            <w:vAlign w:val="center"/>
          </w:tcPr>
          <w:p w:rsidR="000B1C19" w:rsidRPr="004C788F" w:rsidRDefault="00160647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3.036.800</w:t>
            </w:r>
          </w:p>
        </w:tc>
      </w:tr>
      <w:tr w:rsidR="00BD7A18" w:rsidRPr="004C788F" w:rsidTr="00AD6F2F">
        <w:tc>
          <w:tcPr>
            <w:tcW w:w="640" w:type="dxa"/>
            <w:vAlign w:val="center"/>
          </w:tcPr>
          <w:p w:rsidR="00BD7A18" w:rsidRPr="004C788F" w:rsidRDefault="00BD7A18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  <w:p w:rsidR="00BD7A18" w:rsidRPr="004C788F" w:rsidRDefault="00BD7A18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BD7A18" w:rsidRPr="004C788F" w:rsidRDefault="00587822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A120803 Natjecanja iz znanja učenika</w:t>
            </w:r>
          </w:p>
        </w:tc>
        <w:tc>
          <w:tcPr>
            <w:tcW w:w="1549" w:type="dxa"/>
            <w:vAlign w:val="center"/>
          </w:tcPr>
          <w:p w:rsidR="00BD7A18" w:rsidRPr="004C788F" w:rsidRDefault="0058782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280.000</w:t>
            </w:r>
          </w:p>
        </w:tc>
        <w:tc>
          <w:tcPr>
            <w:tcW w:w="1332" w:type="dxa"/>
            <w:vAlign w:val="center"/>
          </w:tcPr>
          <w:p w:rsidR="00BD7A18" w:rsidRPr="004C788F" w:rsidRDefault="0058782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-43.285</w:t>
            </w:r>
          </w:p>
        </w:tc>
        <w:tc>
          <w:tcPr>
            <w:tcW w:w="1316" w:type="dxa"/>
            <w:vAlign w:val="center"/>
          </w:tcPr>
          <w:p w:rsidR="00BD7A18" w:rsidRPr="004C788F" w:rsidRDefault="0058782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236.715</w:t>
            </w:r>
          </w:p>
        </w:tc>
      </w:tr>
      <w:tr w:rsidR="000B1C19" w:rsidRPr="004C788F" w:rsidTr="00AD6F2F">
        <w:tc>
          <w:tcPr>
            <w:tcW w:w="640" w:type="dxa"/>
            <w:vAlign w:val="center"/>
          </w:tcPr>
          <w:p w:rsidR="000B1C19" w:rsidRPr="004C788F" w:rsidRDefault="000B1C19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587822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A120804 Financiranje školskih projekata</w:t>
            </w:r>
          </w:p>
        </w:tc>
        <w:tc>
          <w:tcPr>
            <w:tcW w:w="1549" w:type="dxa"/>
            <w:vAlign w:val="center"/>
          </w:tcPr>
          <w:p w:rsidR="000B1C19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6.860.489</w:t>
            </w:r>
          </w:p>
        </w:tc>
        <w:tc>
          <w:tcPr>
            <w:tcW w:w="1332" w:type="dxa"/>
            <w:vAlign w:val="center"/>
          </w:tcPr>
          <w:p w:rsidR="000B1C19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+1.435.591</w:t>
            </w:r>
          </w:p>
        </w:tc>
        <w:tc>
          <w:tcPr>
            <w:tcW w:w="1316" w:type="dxa"/>
            <w:vAlign w:val="center"/>
          </w:tcPr>
          <w:p w:rsidR="000B1C19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8.296.080</w:t>
            </w:r>
          </w:p>
        </w:tc>
      </w:tr>
      <w:tr w:rsidR="000E47D8" w:rsidRPr="004C788F" w:rsidTr="00AD6F2F">
        <w:tc>
          <w:tcPr>
            <w:tcW w:w="640" w:type="dxa"/>
            <w:vAlign w:val="center"/>
          </w:tcPr>
          <w:p w:rsidR="000E47D8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E47D8" w:rsidRPr="004C788F" w:rsidRDefault="00587822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A120805 Sufinanciranje rada pomoćnika u nastavi</w:t>
            </w:r>
          </w:p>
        </w:tc>
        <w:tc>
          <w:tcPr>
            <w:tcW w:w="1549" w:type="dxa"/>
            <w:vAlign w:val="center"/>
          </w:tcPr>
          <w:p w:rsidR="000E47D8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100.000</w:t>
            </w:r>
          </w:p>
        </w:tc>
        <w:tc>
          <w:tcPr>
            <w:tcW w:w="1332" w:type="dxa"/>
            <w:vAlign w:val="center"/>
          </w:tcPr>
          <w:p w:rsidR="000E47D8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  <w:tc>
          <w:tcPr>
            <w:tcW w:w="1316" w:type="dxa"/>
            <w:vAlign w:val="center"/>
          </w:tcPr>
          <w:p w:rsidR="000E47D8" w:rsidRPr="004C788F" w:rsidRDefault="0058782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100.000</w:t>
            </w:r>
          </w:p>
        </w:tc>
      </w:tr>
      <w:tr w:rsidR="003013FF" w:rsidRPr="004C788F" w:rsidTr="00AD6F2F">
        <w:tc>
          <w:tcPr>
            <w:tcW w:w="640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3013FF" w:rsidRPr="004C788F" w:rsidRDefault="003013FF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A120808 Nabava udžbenika za učenike OŠ</w:t>
            </w:r>
          </w:p>
        </w:tc>
        <w:tc>
          <w:tcPr>
            <w:tcW w:w="1549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1.766.475</w:t>
            </w:r>
          </w:p>
        </w:tc>
        <w:tc>
          <w:tcPr>
            <w:tcW w:w="1332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-180.742</w:t>
            </w:r>
          </w:p>
        </w:tc>
        <w:tc>
          <w:tcPr>
            <w:tcW w:w="1316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1.585.733</w:t>
            </w:r>
          </w:p>
        </w:tc>
      </w:tr>
      <w:tr w:rsidR="003013FF" w:rsidRPr="004C788F" w:rsidTr="00AD6F2F">
        <w:tc>
          <w:tcPr>
            <w:tcW w:w="640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3013FF" w:rsidRPr="004C788F" w:rsidRDefault="003013FF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A120809 Programi školskog kurikuluma</w:t>
            </w:r>
          </w:p>
        </w:tc>
        <w:tc>
          <w:tcPr>
            <w:tcW w:w="1549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940.768</w:t>
            </w:r>
          </w:p>
        </w:tc>
        <w:tc>
          <w:tcPr>
            <w:tcW w:w="1332" w:type="dxa"/>
            <w:vAlign w:val="center"/>
          </w:tcPr>
          <w:p w:rsidR="003013FF" w:rsidRPr="004C788F" w:rsidRDefault="00A867CC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</w:t>
            </w:r>
            <w:r w:rsidR="003013FF" w:rsidRPr="004C788F">
              <w:rPr>
                <w:rFonts w:ascii="Times New Roman" w:hAnsi="Times New Roman"/>
              </w:rPr>
              <w:t>414.203</w:t>
            </w:r>
          </w:p>
        </w:tc>
        <w:tc>
          <w:tcPr>
            <w:tcW w:w="1316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1.354.971</w:t>
            </w:r>
          </w:p>
        </w:tc>
      </w:tr>
      <w:tr w:rsidR="003013FF" w:rsidRPr="004C788F" w:rsidTr="00AD6F2F">
        <w:tc>
          <w:tcPr>
            <w:tcW w:w="640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3013FF" w:rsidRPr="004C788F" w:rsidRDefault="003013FF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a120810 Ostale aktivnosti osnovnih škola</w:t>
            </w:r>
          </w:p>
        </w:tc>
        <w:tc>
          <w:tcPr>
            <w:tcW w:w="1549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1.764.244</w:t>
            </w:r>
          </w:p>
        </w:tc>
        <w:tc>
          <w:tcPr>
            <w:tcW w:w="1332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+740.184</w:t>
            </w:r>
          </w:p>
        </w:tc>
        <w:tc>
          <w:tcPr>
            <w:tcW w:w="1316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2.504.428</w:t>
            </w:r>
          </w:p>
        </w:tc>
      </w:tr>
      <w:tr w:rsidR="003013FF" w:rsidRPr="004C788F" w:rsidTr="00AD6F2F">
        <w:tc>
          <w:tcPr>
            <w:tcW w:w="640" w:type="dxa"/>
            <w:vAlign w:val="center"/>
          </w:tcPr>
          <w:p w:rsidR="003013FF" w:rsidRPr="004C788F" w:rsidRDefault="003013FF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3013FF" w:rsidRPr="004C788F" w:rsidRDefault="002D2EB4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A12011 Dodatne djelatnosti osnovnih škola</w:t>
            </w:r>
          </w:p>
        </w:tc>
        <w:tc>
          <w:tcPr>
            <w:tcW w:w="1549" w:type="dxa"/>
            <w:vAlign w:val="center"/>
          </w:tcPr>
          <w:p w:rsidR="003013FF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2.242.414</w:t>
            </w:r>
          </w:p>
        </w:tc>
        <w:tc>
          <w:tcPr>
            <w:tcW w:w="1332" w:type="dxa"/>
            <w:vAlign w:val="center"/>
          </w:tcPr>
          <w:p w:rsidR="003013FF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+357.770</w:t>
            </w:r>
          </w:p>
        </w:tc>
        <w:tc>
          <w:tcPr>
            <w:tcW w:w="1316" w:type="dxa"/>
            <w:vAlign w:val="center"/>
          </w:tcPr>
          <w:p w:rsidR="003013FF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2.600.184</w:t>
            </w:r>
          </w:p>
        </w:tc>
      </w:tr>
      <w:tr w:rsidR="002D2EB4" w:rsidRPr="004C788F" w:rsidTr="00AD6F2F">
        <w:tc>
          <w:tcPr>
            <w:tcW w:w="640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D2EB4" w:rsidRPr="004C788F" w:rsidRDefault="002D2EB4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A120812 Programi školskog kurikuluma srednjih škola i učeničkih domova</w:t>
            </w:r>
          </w:p>
        </w:tc>
        <w:tc>
          <w:tcPr>
            <w:tcW w:w="1549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356.900</w:t>
            </w:r>
          </w:p>
        </w:tc>
        <w:tc>
          <w:tcPr>
            <w:tcW w:w="1332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+70.501</w:t>
            </w:r>
          </w:p>
        </w:tc>
        <w:tc>
          <w:tcPr>
            <w:tcW w:w="1316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427.401</w:t>
            </w:r>
          </w:p>
        </w:tc>
      </w:tr>
      <w:tr w:rsidR="002D2EB4" w:rsidRPr="004C788F" w:rsidTr="00AD6F2F">
        <w:tc>
          <w:tcPr>
            <w:tcW w:w="640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D2EB4" w:rsidRPr="004C788F" w:rsidRDefault="002D2EB4" w:rsidP="002D2EB4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A120813 Ostale aktivnosti srednjih škola i učeničkih domova</w:t>
            </w:r>
          </w:p>
        </w:tc>
        <w:tc>
          <w:tcPr>
            <w:tcW w:w="1549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4.788.976</w:t>
            </w:r>
          </w:p>
        </w:tc>
        <w:tc>
          <w:tcPr>
            <w:tcW w:w="1332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-1.186.296</w:t>
            </w:r>
          </w:p>
        </w:tc>
        <w:tc>
          <w:tcPr>
            <w:tcW w:w="1316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3.602.680</w:t>
            </w:r>
          </w:p>
        </w:tc>
      </w:tr>
      <w:tr w:rsidR="002D2EB4" w:rsidRPr="004C788F" w:rsidTr="00AD6F2F">
        <w:tc>
          <w:tcPr>
            <w:tcW w:w="640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D2EB4" w:rsidRPr="004C788F" w:rsidRDefault="002D2EB4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A120814 Dodatne djelatnosti srednjih škola i učeničkih domova</w:t>
            </w:r>
          </w:p>
        </w:tc>
        <w:tc>
          <w:tcPr>
            <w:tcW w:w="1549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4.870.092</w:t>
            </w:r>
          </w:p>
        </w:tc>
        <w:tc>
          <w:tcPr>
            <w:tcW w:w="1332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+1.765.304</w:t>
            </w:r>
          </w:p>
        </w:tc>
        <w:tc>
          <w:tcPr>
            <w:tcW w:w="1316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6.635.396</w:t>
            </w:r>
          </w:p>
        </w:tc>
      </w:tr>
      <w:tr w:rsidR="002D2EB4" w:rsidRPr="004C788F" w:rsidTr="00AD6F2F">
        <w:tc>
          <w:tcPr>
            <w:tcW w:w="640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2D2EB4" w:rsidRPr="004C788F" w:rsidRDefault="002D2EB4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Aktivnost A120816 Sufinanciranje školske prehrane – Zaklada Hrvatska za djecu</w:t>
            </w:r>
          </w:p>
        </w:tc>
        <w:tc>
          <w:tcPr>
            <w:tcW w:w="1549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176.294</w:t>
            </w:r>
          </w:p>
        </w:tc>
        <w:tc>
          <w:tcPr>
            <w:tcW w:w="1332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-8.162</w:t>
            </w:r>
          </w:p>
        </w:tc>
        <w:tc>
          <w:tcPr>
            <w:tcW w:w="1316" w:type="dxa"/>
            <w:vAlign w:val="center"/>
          </w:tcPr>
          <w:p w:rsidR="002D2EB4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170.132</w:t>
            </w:r>
          </w:p>
        </w:tc>
      </w:tr>
      <w:tr w:rsidR="000E47D8" w:rsidRPr="004C788F" w:rsidTr="00AD6F2F">
        <w:tc>
          <w:tcPr>
            <w:tcW w:w="640" w:type="dxa"/>
            <w:vAlign w:val="center"/>
          </w:tcPr>
          <w:p w:rsidR="000E47D8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E47D8" w:rsidRPr="004C788F" w:rsidRDefault="00587822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Kapitalni projekt K120806 Sanacija, izgradnja i opremanje igrališta i praćenih objekata</w:t>
            </w:r>
          </w:p>
        </w:tc>
        <w:tc>
          <w:tcPr>
            <w:tcW w:w="1549" w:type="dxa"/>
            <w:vAlign w:val="center"/>
          </w:tcPr>
          <w:p w:rsidR="000E47D8" w:rsidRPr="004C788F" w:rsidRDefault="0058782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350.000</w:t>
            </w:r>
          </w:p>
        </w:tc>
        <w:tc>
          <w:tcPr>
            <w:tcW w:w="1332" w:type="dxa"/>
            <w:vAlign w:val="center"/>
          </w:tcPr>
          <w:p w:rsidR="000E47D8" w:rsidRPr="004C788F" w:rsidRDefault="0058782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-350.000</w:t>
            </w:r>
          </w:p>
        </w:tc>
        <w:tc>
          <w:tcPr>
            <w:tcW w:w="1316" w:type="dxa"/>
            <w:vAlign w:val="center"/>
          </w:tcPr>
          <w:p w:rsidR="000E47D8" w:rsidRPr="004C788F" w:rsidRDefault="00587822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0</w:t>
            </w:r>
          </w:p>
        </w:tc>
      </w:tr>
      <w:tr w:rsidR="000E47D8" w:rsidRPr="004C788F" w:rsidTr="00AD6F2F">
        <w:tc>
          <w:tcPr>
            <w:tcW w:w="640" w:type="dxa"/>
            <w:vAlign w:val="center"/>
          </w:tcPr>
          <w:p w:rsidR="000E47D8" w:rsidRPr="004C788F" w:rsidRDefault="000E47D8" w:rsidP="000B1C19">
            <w:pPr>
              <w:pStyle w:val="NoSpacing"/>
              <w:jc w:val="right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4258" w:type="dxa"/>
          </w:tcPr>
          <w:p w:rsidR="000E47D8" w:rsidRPr="004C788F" w:rsidRDefault="00587822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Kapitalni projekt K120807 Energetska obnova školskih objekata</w:t>
            </w:r>
          </w:p>
        </w:tc>
        <w:tc>
          <w:tcPr>
            <w:tcW w:w="1549" w:type="dxa"/>
            <w:vAlign w:val="center"/>
          </w:tcPr>
          <w:p w:rsidR="000E47D8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1.246.686</w:t>
            </w:r>
          </w:p>
        </w:tc>
        <w:tc>
          <w:tcPr>
            <w:tcW w:w="1332" w:type="dxa"/>
            <w:vAlign w:val="center"/>
          </w:tcPr>
          <w:p w:rsidR="000E47D8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+420.000</w:t>
            </w:r>
          </w:p>
        </w:tc>
        <w:tc>
          <w:tcPr>
            <w:tcW w:w="1316" w:type="dxa"/>
            <w:vAlign w:val="center"/>
          </w:tcPr>
          <w:p w:rsidR="000E47D8" w:rsidRPr="004C788F" w:rsidRDefault="002D2EB4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1.666.686</w:t>
            </w:r>
          </w:p>
        </w:tc>
      </w:tr>
      <w:tr w:rsidR="00D262F3" w:rsidRPr="004C788F" w:rsidTr="00AD6F2F">
        <w:tc>
          <w:tcPr>
            <w:tcW w:w="640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4258" w:type="dxa"/>
          </w:tcPr>
          <w:p w:rsidR="00D262F3" w:rsidRPr="004C788F" w:rsidRDefault="00D262F3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Kapitalni projekt K120815 Regionalni centar</w:t>
            </w:r>
            <w:r w:rsidR="001C4754">
              <w:rPr>
                <w:rFonts w:ascii="Times New Roman" w:hAnsi="Times New Roman"/>
              </w:rPr>
              <w:t xml:space="preserve"> </w:t>
            </w:r>
            <w:r w:rsidRPr="004C788F">
              <w:rPr>
                <w:rFonts w:ascii="Times New Roman" w:hAnsi="Times New Roman"/>
              </w:rPr>
              <w:t>kompetentnosti u sektoru turizam i ugostiteljstvo</w:t>
            </w:r>
          </w:p>
        </w:tc>
        <w:tc>
          <w:tcPr>
            <w:tcW w:w="1549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57.789.928</w:t>
            </w:r>
          </w:p>
        </w:tc>
        <w:tc>
          <w:tcPr>
            <w:tcW w:w="1332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-20.900.787</w:t>
            </w:r>
          </w:p>
        </w:tc>
        <w:tc>
          <w:tcPr>
            <w:tcW w:w="1316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36.889.141</w:t>
            </w:r>
          </w:p>
        </w:tc>
      </w:tr>
      <w:tr w:rsidR="00D262F3" w:rsidRPr="004C788F" w:rsidTr="00AD6F2F">
        <w:tc>
          <w:tcPr>
            <w:tcW w:w="640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4258" w:type="dxa"/>
          </w:tcPr>
          <w:p w:rsidR="00D262F3" w:rsidRPr="004C788F" w:rsidRDefault="00D262F3" w:rsidP="000B1C19">
            <w:pPr>
              <w:pStyle w:val="NoSpacing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Tekući projekt T120802 Produženi boravak</w:t>
            </w:r>
          </w:p>
        </w:tc>
        <w:tc>
          <w:tcPr>
            <w:tcW w:w="1549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1.444.876</w:t>
            </w:r>
          </w:p>
        </w:tc>
        <w:tc>
          <w:tcPr>
            <w:tcW w:w="1332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-85.282</w:t>
            </w:r>
          </w:p>
        </w:tc>
        <w:tc>
          <w:tcPr>
            <w:tcW w:w="1316" w:type="dxa"/>
            <w:vAlign w:val="center"/>
          </w:tcPr>
          <w:p w:rsidR="00D262F3" w:rsidRPr="004C788F" w:rsidRDefault="00D262F3" w:rsidP="000B1C19">
            <w:pPr>
              <w:pStyle w:val="NoSpacing"/>
              <w:jc w:val="right"/>
              <w:rPr>
                <w:rFonts w:ascii="Times New Roman" w:hAnsi="Times New Roman"/>
              </w:rPr>
            </w:pPr>
            <w:r w:rsidRPr="004C788F">
              <w:rPr>
                <w:rFonts w:ascii="Times New Roman" w:hAnsi="Times New Roman"/>
              </w:rPr>
              <w:t>1.359.594</w:t>
            </w:r>
          </w:p>
        </w:tc>
      </w:tr>
      <w:tr w:rsidR="000B1C19" w:rsidRPr="004C788F" w:rsidTr="00AD6F2F">
        <w:tc>
          <w:tcPr>
            <w:tcW w:w="640" w:type="dxa"/>
          </w:tcPr>
          <w:p w:rsidR="000B1C19" w:rsidRPr="004C788F" w:rsidRDefault="000B1C19" w:rsidP="000B1C19">
            <w:pPr>
              <w:pStyle w:val="NoSpacing"/>
              <w:rPr>
                <w:rFonts w:ascii="Times New Roman" w:hAnsi="Times New Roman"/>
                <w:b/>
              </w:rPr>
            </w:pPr>
          </w:p>
        </w:tc>
        <w:tc>
          <w:tcPr>
            <w:tcW w:w="4258" w:type="dxa"/>
          </w:tcPr>
          <w:p w:rsidR="000B1C19" w:rsidRPr="004C788F" w:rsidRDefault="000B1C19" w:rsidP="000B1C19">
            <w:pPr>
              <w:pStyle w:val="NoSpacing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UKUPNO RAZDJEL:</w:t>
            </w:r>
          </w:p>
        </w:tc>
        <w:tc>
          <w:tcPr>
            <w:tcW w:w="1549" w:type="dxa"/>
            <w:vAlign w:val="center"/>
          </w:tcPr>
          <w:p w:rsidR="000B1C19" w:rsidRPr="004C788F" w:rsidRDefault="005B0702" w:rsidP="00C35A9F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392.542.255</w:t>
            </w:r>
          </w:p>
        </w:tc>
        <w:tc>
          <w:tcPr>
            <w:tcW w:w="1332" w:type="dxa"/>
            <w:vAlign w:val="center"/>
          </w:tcPr>
          <w:p w:rsidR="000B1C19" w:rsidRPr="004C788F" w:rsidRDefault="005B0702" w:rsidP="00A65ED8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-5</w:t>
            </w:r>
            <w:r w:rsidR="00D3436E" w:rsidRPr="004C788F">
              <w:rPr>
                <w:rFonts w:ascii="Times New Roman" w:hAnsi="Times New Roman"/>
                <w:b/>
              </w:rPr>
              <w:t>.</w:t>
            </w:r>
            <w:r w:rsidRPr="004C788F">
              <w:rPr>
                <w:rFonts w:ascii="Times New Roman" w:hAnsi="Times New Roman"/>
                <w:b/>
              </w:rPr>
              <w:t>135.054</w:t>
            </w:r>
          </w:p>
        </w:tc>
        <w:tc>
          <w:tcPr>
            <w:tcW w:w="1316" w:type="dxa"/>
            <w:vAlign w:val="center"/>
          </w:tcPr>
          <w:p w:rsidR="000B1C19" w:rsidRPr="004C788F" w:rsidRDefault="005B0702" w:rsidP="002E5D39">
            <w:pPr>
              <w:pStyle w:val="NoSpacing"/>
              <w:jc w:val="right"/>
              <w:rPr>
                <w:rFonts w:ascii="Times New Roman" w:hAnsi="Times New Roman"/>
                <w:b/>
              </w:rPr>
            </w:pPr>
            <w:r w:rsidRPr="004C788F">
              <w:rPr>
                <w:rFonts w:ascii="Times New Roman" w:hAnsi="Times New Roman"/>
                <w:b/>
              </w:rPr>
              <w:t>387.407.201</w:t>
            </w:r>
          </w:p>
        </w:tc>
      </w:tr>
    </w:tbl>
    <w:p w:rsidR="00AD65BC" w:rsidRPr="004C788F" w:rsidRDefault="00AD65BC" w:rsidP="00AD65BC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3E0E19" w:rsidRPr="004C788F" w:rsidRDefault="003E0E19" w:rsidP="00AD65BC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3E0E19" w:rsidRPr="004C788F" w:rsidRDefault="003E0E19" w:rsidP="00AD65BC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D262F3" w:rsidRPr="004C788F" w:rsidRDefault="00D262F3" w:rsidP="000060A3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</w:p>
    <w:p w:rsidR="00AD65BC" w:rsidRPr="004C788F" w:rsidRDefault="00D262F3" w:rsidP="000060A3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N</w:t>
      </w:r>
      <w:r w:rsidR="00AD65BC" w:rsidRPr="004C788F">
        <w:rPr>
          <w:rFonts w:ascii="Times New Roman" w:hAnsi="Times New Roman"/>
          <w:b/>
        </w:rPr>
        <w:t>AZIV PROGRAMA: Program 1</w:t>
      </w:r>
      <w:r w:rsidR="000060A3" w:rsidRPr="004C788F">
        <w:rPr>
          <w:rFonts w:ascii="Times New Roman" w:hAnsi="Times New Roman"/>
          <w:b/>
        </w:rPr>
        <w:t>200</w:t>
      </w:r>
      <w:r w:rsidR="00AD65BC" w:rsidRPr="004C788F">
        <w:rPr>
          <w:rFonts w:ascii="Times New Roman" w:hAnsi="Times New Roman"/>
          <w:b/>
        </w:rPr>
        <w:t xml:space="preserve"> – Pr</w:t>
      </w:r>
      <w:r w:rsidR="000060A3" w:rsidRPr="004C788F">
        <w:rPr>
          <w:rFonts w:ascii="Times New Roman" w:hAnsi="Times New Roman"/>
          <w:b/>
        </w:rPr>
        <w:t>omicanje kulture</w:t>
      </w:r>
    </w:p>
    <w:p w:rsidR="00AD65BC" w:rsidRPr="004C788F" w:rsidRDefault="00AD65BC" w:rsidP="000060A3">
      <w:pPr>
        <w:pStyle w:val="NoSpacing"/>
        <w:shd w:val="clear" w:color="auto" w:fill="FFFFFF"/>
        <w:rPr>
          <w:rFonts w:ascii="Times New Roman" w:hAnsi="Times New Roman"/>
          <w:b/>
        </w:rPr>
      </w:pPr>
    </w:p>
    <w:p w:rsidR="000060A3" w:rsidRPr="004C788F" w:rsidRDefault="000060A3" w:rsidP="000060A3">
      <w:pPr>
        <w:jc w:val="left"/>
        <w:rPr>
          <w:b/>
          <w:sz w:val="22"/>
        </w:rPr>
      </w:pPr>
      <w:r w:rsidRPr="004C788F">
        <w:rPr>
          <w:b/>
          <w:sz w:val="22"/>
        </w:rPr>
        <w:t>Aktivnost A120004 Zaštita, očuvanje i opremanje kulturnih i skaralnih dobara</w:t>
      </w:r>
    </w:p>
    <w:p w:rsidR="000060A3" w:rsidRPr="004C788F" w:rsidRDefault="000060A3" w:rsidP="000060A3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1C2DF2" w:rsidRPr="004C788F" w:rsidRDefault="001C2DF2" w:rsidP="00AE1A1F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4C788F">
        <w:rPr>
          <w:rFonts w:ascii="Times New Roman" w:hAnsi="Times New Roman"/>
        </w:rPr>
        <w:t>Nema odstupanja osim što je iznos od 136.800 k</w:t>
      </w:r>
      <w:r w:rsidR="00BE36E5" w:rsidRPr="004C788F">
        <w:rPr>
          <w:rFonts w:ascii="Times New Roman" w:hAnsi="Times New Roman"/>
        </w:rPr>
        <w:t>u</w:t>
      </w:r>
      <w:r w:rsidRPr="004C788F">
        <w:rPr>
          <w:rFonts w:ascii="Times New Roman" w:hAnsi="Times New Roman"/>
        </w:rPr>
        <w:t>n</w:t>
      </w:r>
      <w:r w:rsidR="00BE36E5" w:rsidRPr="004C788F">
        <w:rPr>
          <w:rFonts w:ascii="Times New Roman" w:hAnsi="Times New Roman"/>
        </w:rPr>
        <w:t>a</w:t>
      </w:r>
      <w:r w:rsidRPr="004C788F">
        <w:rPr>
          <w:rFonts w:ascii="Times New Roman" w:hAnsi="Times New Roman"/>
        </w:rPr>
        <w:t xml:space="preserve"> preusmjeren za financiranje nabave radnih materijala učenika osnovnih škola od 1. do 8. razreda.</w:t>
      </w:r>
    </w:p>
    <w:p w:rsidR="000060A3" w:rsidRPr="004C788F" w:rsidRDefault="000060A3" w:rsidP="00B73B29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</w:p>
    <w:p w:rsidR="00B73B29" w:rsidRPr="004C788F" w:rsidRDefault="00F845B9" w:rsidP="00B73B29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NAZIV PROGRAMA: Program 1</w:t>
      </w:r>
      <w:r w:rsidR="000060A3" w:rsidRPr="004C788F">
        <w:rPr>
          <w:rFonts w:ascii="Times New Roman" w:hAnsi="Times New Roman"/>
          <w:b/>
        </w:rPr>
        <w:t>201- Razvoj športa i rekreacije</w:t>
      </w:r>
    </w:p>
    <w:p w:rsidR="00B73B29" w:rsidRPr="004C788F" w:rsidRDefault="00B73B29" w:rsidP="00B73B29">
      <w:pPr>
        <w:pStyle w:val="NoSpacing"/>
        <w:shd w:val="clear" w:color="auto" w:fill="FFFFFF"/>
        <w:rPr>
          <w:rFonts w:ascii="Times New Roman" w:hAnsi="Times New Roman"/>
          <w:b/>
        </w:rPr>
      </w:pPr>
    </w:p>
    <w:p w:rsidR="00B73B29" w:rsidRPr="004C788F" w:rsidRDefault="000060A3" w:rsidP="00B73B29">
      <w:pPr>
        <w:pStyle w:val="NoSpacing"/>
        <w:shd w:val="clear" w:color="auto" w:fill="FFFFFF"/>
        <w:jc w:val="both"/>
        <w:rPr>
          <w:rFonts w:ascii="Times New Roman" w:hAnsi="Times New Roman"/>
          <w:b/>
          <w:i/>
        </w:rPr>
      </w:pPr>
      <w:r w:rsidRPr="004C788F">
        <w:rPr>
          <w:rFonts w:ascii="Times New Roman" w:hAnsi="Times New Roman"/>
          <w:b/>
        </w:rPr>
        <w:t xml:space="preserve">Aktivnost A120101 Financiranje rada zajednice športa Dubrovačko-neretvanske županije </w:t>
      </w:r>
    </w:p>
    <w:p w:rsidR="003E0E19" w:rsidRPr="004C788F" w:rsidRDefault="003E0E19" w:rsidP="003E0E19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4C788F">
        <w:rPr>
          <w:rFonts w:ascii="Times New Roman" w:hAnsi="Times New Roman"/>
        </w:rPr>
        <w:t>Nema odstupanja.</w:t>
      </w:r>
    </w:p>
    <w:p w:rsidR="00A14918" w:rsidRPr="004C788F" w:rsidRDefault="00A14918" w:rsidP="00B73B29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B73B29" w:rsidRPr="004C788F" w:rsidRDefault="00B73B29" w:rsidP="00B73B29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 xml:space="preserve">NAZIV PROGRAMA: </w:t>
      </w:r>
      <w:r w:rsidR="00F845B9" w:rsidRPr="004C788F">
        <w:rPr>
          <w:rFonts w:ascii="Times New Roman" w:hAnsi="Times New Roman"/>
          <w:b/>
        </w:rPr>
        <w:t xml:space="preserve">Program </w:t>
      </w:r>
      <w:r w:rsidR="00E93A50" w:rsidRPr="004C788F">
        <w:rPr>
          <w:rFonts w:ascii="Times New Roman" w:hAnsi="Times New Roman"/>
          <w:b/>
        </w:rPr>
        <w:t>1202 Odgoj i obrazovanje</w:t>
      </w:r>
    </w:p>
    <w:p w:rsidR="00B73B29" w:rsidRPr="004C788F" w:rsidRDefault="00B73B29" w:rsidP="00B73B29">
      <w:pPr>
        <w:pStyle w:val="NoSpacing"/>
        <w:shd w:val="clear" w:color="auto" w:fill="FFFFFF"/>
        <w:rPr>
          <w:rFonts w:ascii="Times New Roman" w:hAnsi="Times New Roman"/>
          <w:b/>
        </w:rPr>
      </w:pPr>
    </w:p>
    <w:p w:rsidR="00E93A50" w:rsidRPr="004C788F" w:rsidRDefault="00E93A50" w:rsidP="00B73B29">
      <w:pPr>
        <w:pStyle w:val="NoSpacing"/>
        <w:shd w:val="clear" w:color="auto" w:fill="FFFFFF"/>
        <w:jc w:val="both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Aktivnost A120203 Sufinanciranje prijevoza učenika srednjih škola</w:t>
      </w:r>
    </w:p>
    <w:p w:rsidR="00E93A50" w:rsidRPr="004C788F" w:rsidRDefault="00E93A50" w:rsidP="00B73B29">
      <w:pPr>
        <w:pStyle w:val="NoSpacing"/>
        <w:shd w:val="clear" w:color="auto" w:fill="FFFFFF"/>
        <w:jc w:val="both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Razlog odstupanja:</w:t>
      </w:r>
    </w:p>
    <w:p w:rsidR="00E93A50" w:rsidRPr="004C788F" w:rsidRDefault="00E93A50" w:rsidP="00B73B29">
      <w:pPr>
        <w:pStyle w:val="NoSpacing"/>
        <w:shd w:val="clear" w:color="auto" w:fill="FFFFFF"/>
        <w:jc w:val="both"/>
        <w:rPr>
          <w:rFonts w:ascii="Times New Roman" w:hAnsi="Times New Roman"/>
        </w:rPr>
      </w:pPr>
      <w:r w:rsidRPr="004C788F">
        <w:rPr>
          <w:rFonts w:ascii="Times New Roman" w:hAnsi="Times New Roman"/>
        </w:rPr>
        <w:t xml:space="preserve">Zbog </w:t>
      </w:r>
      <w:r w:rsidR="001C2DF2" w:rsidRPr="004C788F">
        <w:rPr>
          <w:rFonts w:ascii="Times New Roman" w:hAnsi="Times New Roman"/>
        </w:rPr>
        <w:t>privremenog</w:t>
      </w:r>
      <w:r w:rsidR="00D30775" w:rsidRPr="004C788F">
        <w:rPr>
          <w:rFonts w:ascii="Times New Roman" w:hAnsi="Times New Roman"/>
        </w:rPr>
        <w:t xml:space="preserve"> </w:t>
      </w:r>
      <w:r w:rsidRPr="004C788F">
        <w:rPr>
          <w:rFonts w:ascii="Times New Roman" w:hAnsi="Times New Roman"/>
        </w:rPr>
        <w:t>izmještanja učenika na novu lokaciju, odnosno u Osnovnu školu Župa Dubrovačka zbog adaptacije Turističke i ugostiteljske škole Dubrovnik bilo je potrebno osigurati prijevoz učenicima, i to u iznosu od 320.000 kuna.</w:t>
      </w:r>
    </w:p>
    <w:p w:rsidR="00BE36E5" w:rsidRPr="004C788F" w:rsidRDefault="00BE36E5" w:rsidP="00E93A50">
      <w:pPr>
        <w:jc w:val="left"/>
        <w:rPr>
          <w:b/>
          <w:sz w:val="22"/>
        </w:rPr>
      </w:pPr>
    </w:p>
    <w:p w:rsidR="00E93A50" w:rsidRPr="004C788F" w:rsidRDefault="00E93A50" w:rsidP="00E93A50">
      <w:pPr>
        <w:jc w:val="left"/>
        <w:rPr>
          <w:b/>
          <w:sz w:val="22"/>
        </w:rPr>
      </w:pPr>
      <w:r w:rsidRPr="004C788F">
        <w:rPr>
          <w:b/>
          <w:sz w:val="22"/>
        </w:rPr>
        <w:t>Aktivnost A120209 Potpora razvoja dislociranim učilištima</w:t>
      </w:r>
    </w:p>
    <w:p w:rsidR="00E93A50" w:rsidRPr="004C788F" w:rsidRDefault="00E93A50" w:rsidP="00E93A50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E93A50" w:rsidRPr="004C788F" w:rsidRDefault="009C6930" w:rsidP="00E93A50">
      <w:pPr>
        <w:jc w:val="left"/>
        <w:rPr>
          <w:sz w:val="22"/>
        </w:rPr>
      </w:pPr>
      <w:r w:rsidRPr="004C788F">
        <w:rPr>
          <w:sz w:val="22"/>
        </w:rPr>
        <w:t>Sredstva su u potpunosti preusmjerena za financiranje nabave radnih materijala učenika osnovnih škola od 1. do 8. razreda.</w:t>
      </w:r>
    </w:p>
    <w:p w:rsidR="001E0A06" w:rsidRPr="004C788F" w:rsidRDefault="001E0A06" w:rsidP="00B73B29">
      <w:pPr>
        <w:pStyle w:val="NoSpacing"/>
        <w:shd w:val="clear" w:color="auto" w:fill="FFFFFF"/>
        <w:jc w:val="both"/>
        <w:rPr>
          <w:rFonts w:ascii="Times New Roman" w:hAnsi="Times New Roman"/>
        </w:rPr>
      </w:pPr>
    </w:p>
    <w:p w:rsidR="00B73B29" w:rsidRPr="004C788F" w:rsidRDefault="00B73B29" w:rsidP="00B73B29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 xml:space="preserve">NAZIV PROGRAMA: </w:t>
      </w:r>
      <w:r w:rsidR="00F845B9" w:rsidRPr="004C788F">
        <w:rPr>
          <w:rFonts w:ascii="Times New Roman" w:hAnsi="Times New Roman"/>
          <w:b/>
        </w:rPr>
        <w:t xml:space="preserve">Program </w:t>
      </w:r>
      <w:r w:rsidR="00E93A50" w:rsidRPr="004C788F">
        <w:rPr>
          <w:rFonts w:ascii="Times New Roman" w:hAnsi="Times New Roman"/>
          <w:b/>
        </w:rPr>
        <w:t>120</w:t>
      </w:r>
      <w:r w:rsidR="00481D6E" w:rsidRPr="004C788F">
        <w:rPr>
          <w:rFonts w:ascii="Times New Roman" w:hAnsi="Times New Roman"/>
          <w:b/>
        </w:rPr>
        <w:t>6 EU projekti UO za obrazovanje, kulturu i sport</w:t>
      </w:r>
    </w:p>
    <w:p w:rsidR="00B73B29" w:rsidRPr="004C788F" w:rsidRDefault="00B73B29" w:rsidP="00B73B29">
      <w:pPr>
        <w:pStyle w:val="NoSpacing"/>
        <w:shd w:val="clear" w:color="auto" w:fill="FFFFFF"/>
        <w:rPr>
          <w:rFonts w:ascii="Times New Roman" w:hAnsi="Times New Roman"/>
          <w:b/>
        </w:rPr>
      </w:pPr>
    </w:p>
    <w:p w:rsidR="00F3607D" w:rsidRPr="004C788F" w:rsidRDefault="00F3607D" w:rsidP="00CF1D77">
      <w:pPr>
        <w:jc w:val="left"/>
        <w:rPr>
          <w:b/>
          <w:sz w:val="22"/>
        </w:rPr>
      </w:pPr>
      <w:r w:rsidRPr="004C788F">
        <w:rPr>
          <w:b/>
          <w:sz w:val="22"/>
        </w:rPr>
        <w:t>Kapitalni projekt K120601 Regionalni centar kompententnosti u turizmu i ugostiteljstvu Dubrovnik</w:t>
      </w:r>
    </w:p>
    <w:p w:rsidR="007E06AB" w:rsidRPr="004C788F" w:rsidRDefault="007E06AB" w:rsidP="007E06AB">
      <w:pPr>
        <w:jc w:val="both"/>
        <w:rPr>
          <w:rFonts w:eastAsiaTheme="minorHAnsi"/>
          <w:sz w:val="22"/>
        </w:rPr>
      </w:pPr>
      <w:r w:rsidRPr="004C788F">
        <w:rPr>
          <w:sz w:val="22"/>
        </w:rPr>
        <w:t xml:space="preserve">Uspostava infrastrukture Regionalnog centra kompetentnosti obuhvaća dogradnju, rekonstrukciju i prilagodbu Turističke i ugostiteljske škole Dubrovnik i 2 akademisa u Dubrovniku (Garište i Vila Čingrija), opremanje specijaliziranom opremom i suvremenim tehnologijama za strukovno obrazovanje u sektoru turizma i ugostiteljstva u skladu s potrebama tržišta rada na regionalnoj razini i intenziviranje suradnje s drugim EU centrima. Regionalni centar kompetentnosti će s Dubrovačko-neretvanskom županijom, partnerima ustanovama za srednje strukovno obrazovanje i suradnicima pružiti unaprijeđene infrastrukturne uvjete za učenike, nastavnike i druge polaznika RCK s ciljem postizanja veće zapošljivosti te povećanja kvalitete srednjeg strukovnog obrazovanja, obrazovanja za odrasle i cjeloživotnog učenja za turizam i ugostiteljstvo. </w:t>
      </w:r>
    </w:p>
    <w:p w:rsidR="007E06AB" w:rsidRPr="004C788F" w:rsidRDefault="007E06AB" w:rsidP="007E06AB">
      <w:pPr>
        <w:jc w:val="both"/>
        <w:rPr>
          <w:sz w:val="22"/>
        </w:rPr>
      </w:pPr>
      <w:r w:rsidRPr="004C788F">
        <w:rPr>
          <w:sz w:val="22"/>
        </w:rPr>
        <w:t xml:space="preserve">Radovi na matičnoj zgradi Turističke škole su u završnoj fazi. Potpisani su Ugovori o izvođenju radova za ostale dvije lokacije, kao i predviđeni stručni i projektantski nadzor, završeni su radovi rušenja, kreću radovi obnove i rekonstrukcije objekata. </w:t>
      </w:r>
    </w:p>
    <w:p w:rsidR="007E06AB" w:rsidRPr="004C788F" w:rsidRDefault="007E06AB" w:rsidP="007E06AB">
      <w:pPr>
        <w:jc w:val="both"/>
        <w:rPr>
          <w:sz w:val="22"/>
        </w:rPr>
      </w:pPr>
      <w:r w:rsidRPr="004C788F">
        <w:rPr>
          <w:sz w:val="22"/>
        </w:rPr>
        <w:t>Pokrenuti su postupci javne nabave za nabavu opreme objekata. Po provedenim postupcima javne nabave ugovoreno je opremanje namještajem, sitnim inventarom i opremom, digitalizacija obrazovnih sadržaja, interaktivne televizije, a dijelom je nabavljena oprema za partnerske škole u pločama i Metkoviću.</w:t>
      </w:r>
    </w:p>
    <w:p w:rsidR="007E06AB" w:rsidRPr="004C788F" w:rsidRDefault="007E06AB" w:rsidP="007E06AB">
      <w:pPr>
        <w:jc w:val="both"/>
        <w:rPr>
          <w:b/>
          <w:bCs/>
          <w:sz w:val="22"/>
        </w:rPr>
      </w:pPr>
      <w:r w:rsidRPr="004C788F">
        <w:rPr>
          <w:sz w:val="22"/>
        </w:rPr>
        <w:t xml:space="preserve">Zbog dugotrajnog postupka ishođenja građevinske dozvole za Akademis Vila Čingrija, došlo je do prolongiranja određenih projektnih aktivnosti. Po završetku ovog postupka u travnju i uspješnom </w:t>
      </w:r>
      <w:r w:rsidRPr="004C788F">
        <w:rPr>
          <w:sz w:val="22"/>
        </w:rPr>
        <w:lastRenderedPageBreak/>
        <w:t>ishođenju građevinske dozvole nastavlja se s provedbom svih planiranih projektnih aktivnosti uspostave i razvoja Regionalnog centra kompetentnosti u turizmu i ugostiteljstvu Dubrovnik</w:t>
      </w:r>
      <w:r w:rsidRPr="004C788F">
        <w:rPr>
          <w:b/>
          <w:bCs/>
          <w:sz w:val="22"/>
        </w:rPr>
        <w:t>.</w:t>
      </w:r>
    </w:p>
    <w:p w:rsidR="00CB171A" w:rsidRDefault="00CB171A" w:rsidP="007E06AB">
      <w:pPr>
        <w:jc w:val="both"/>
        <w:rPr>
          <w:b/>
          <w:bCs/>
          <w:sz w:val="22"/>
        </w:rPr>
      </w:pPr>
    </w:p>
    <w:p w:rsidR="00F46FD2" w:rsidRDefault="00F46FD2" w:rsidP="007E06AB">
      <w:pPr>
        <w:jc w:val="both"/>
        <w:rPr>
          <w:b/>
          <w:bCs/>
          <w:sz w:val="22"/>
        </w:rPr>
      </w:pPr>
    </w:p>
    <w:p w:rsidR="00F46FD2" w:rsidRDefault="00F46FD2" w:rsidP="007E06AB">
      <w:pPr>
        <w:jc w:val="both"/>
        <w:rPr>
          <w:b/>
          <w:bCs/>
          <w:sz w:val="22"/>
        </w:rPr>
      </w:pPr>
    </w:p>
    <w:p w:rsidR="00F46FD2" w:rsidRPr="004C788F" w:rsidRDefault="00F46FD2" w:rsidP="007E06AB">
      <w:pPr>
        <w:jc w:val="both"/>
        <w:rPr>
          <w:b/>
          <w:bCs/>
          <w:sz w:val="22"/>
        </w:rPr>
      </w:pPr>
    </w:p>
    <w:p w:rsidR="00CB171A" w:rsidRPr="004C788F" w:rsidRDefault="00CB171A" w:rsidP="00CB171A">
      <w:pPr>
        <w:jc w:val="left"/>
        <w:rPr>
          <w:b/>
          <w:sz w:val="22"/>
        </w:rPr>
      </w:pPr>
      <w:r w:rsidRPr="004C788F">
        <w:rPr>
          <w:b/>
          <w:sz w:val="22"/>
        </w:rPr>
        <w:t>Tekući projekt T120602 Europski socijalni fond – Projekt ZAJEDNO MOŽEMO SVE VOL.5- pomoćnik u nastavi</w:t>
      </w:r>
    </w:p>
    <w:p w:rsidR="00CB171A" w:rsidRPr="004C788F" w:rsidRDefault="00CB171A" w:rsidP="00CB171A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CB171A" w:rsidRPr="004C788F" w:rsidRDefault="00CB171A" w:rsidP="00CB171A">
      <w:pPr>
        <w:jc w:val="left"/>
        <w:rPr>
          <w:sz w:val="22"/>
        </w:rPr>
      </w:pPr>
      <w:r w:rsidRPr="004C788F">
        <w:rPr>
          <w:sz w:val="22"/>
        </w:rPr>
        <w:t>Aktivnost je povećana u iznosu od 1.151.730 kuna jer se prvotno aktivnost planirala samo za 2. polugodište školske godine 2021./2022. zbog toga što nismo znali na koji će se način i hoće li se nastaviti i u ovoj školskoj godini 2022./2023. financirati projekt pomoćnika u nastavi. Nastavkom financiranja u školskoj godini 2022./2023 školske ustanove su rebalansom planirale preostalu razliku.</w:t>
      </w:r>
    </w:p>
    <w:p w:rsidR="00CB171A" w:rsidRPr="004C788F" w:rsidRDefault="00CB171A" w:rsidP="00CB171A">
      <w:pPr>
        <w:jc w:val="left"/>
        <w:rPr>
          <w:sz w:val="22"/>
        </w:rPr>
      </w:pPr>
    </w:p>
    <w:p w:rsidR="00A9693D" w:rsidRPr="004C788F" w:rsidRDefault="00A9693D" w:rsidP="007E06AB">
      <w:pPr>
        <w:jc w:val="both"/>
        <w:rPr>
          <w:b/>
          <w:sz w:val="22"/>
          <w:u w:val="single"/>
        </w:rPr>
      </w:pPr>
      <w:r w:rsidRPr="004C788F">
        <w:rPr>
          <w:b/>
          <w:sz w:val="22"/>
          <w:u w:val="single"/>
        </w:rPr>
        <w:t>NAZIV PROGRAMA: Program 1207 Zakonski standard ustanova u obrazovanju</w:t>
      </w:r>
    </w:p>
    <w:p w:rsidR="00A9693D" w:rsidRPr="004C788F" w:rsidRDefault="00A9693D" w:rsidP="007E06AB">
      <w:pPr>
        <w:jc w:val="both"/>
        <w:rPr>
          <w:b/>
          <w:sz w:val="22"/>
          <w:u w:val="single"/>
        </w:rPr>
      </w:pPr>
    </w:p>
    <w:p w:rsidR="00A9693D" w:rsidRPr="004C788F" w:rsidRDefault="00A9693D" w:rsidP="007E06AB">
      <w:pPr>
        <w:jc w:val="both"/>
        <w:rPr>
          <w:b/>
          <w:sz w:val="22"/>
        </w:rPr>
      </w:pPr>
      <w:r w:rsidRPr="004C788F">
        <w:rPr>
          <w:b/>
          <w:sz w:val="22"/>
        </w:rPr>
        <w:t>Aktivnost A120701 Osiguravanje uvjeta za redovno poslovanje osnovnih škola</w:t>
      </w:r>
    </w:p>
    <w:p w:rsidR="00A91E37" w:rsidRPr="004C788F" w:rsidRDefault="00A91E37" w:rsidP="007E06AB">
      <w:pPr>
        <w:jc w:val="both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A91E37" w:rsidRPr="004C788F" w:rsidRDefault="0063125A" w:rsidP="007E06AB">
      <w:pPr>
        <w:jc w:val="both"/>
        <w:rPr>
          <w:sz w:val="22"/>
        </w:rPr>
      </w:pPr>
      <w:r>
        <w:rPr>
          <w:sz w:val="22"/>
        </w:rPr>
        <w:t xml:space="preserve">Kod decentraliziranih sredstava nema odstupanja. </w:t>
      </w:r>
      <w:r w:rsidR="00F46FD2">
        <w:rPr>
          <w:sz w:val="22"/>
        </w:rPr>
        <w:t xml:space="preserve">Povećanje je kod izvora Ministarstvo znanosti i obrazovanja zbog </w:t>
      </w:r>
      <w:r w:rsidR="00A91E37" w:rsidRPr="004C788F">
        <w:rPr>
          <w:sz w:val="22"/>
        </w:rPr>
        <w:t xml:space="preserve">povećanja osnovice </w:t>
      </w:r>
      <w:r w:rsidR="00465E42" w:rsidRPr="004C788F">
        <w:rPr>
          <w:sz w:val="22"/>
        </w:rPr>
        <w:t>plaća i drugih materijalnih prava.</w:t>
      </w:r>
    </w:p>
    <w:p w:rsidR="004C788F" w:rsidRPr="004C788F" w:rsidRDefault="004C788F" w:rsidP="00A91E37">
      <w:pPr>
        <w:pStyle w:val="NoSpacing"/>
        <w:shd w:val="clear" w:color="auto" w:fill="FFFFFF"/>
        <w:jc w:val="both"/>
        <w:rPr>
          <w:rFonts w:ascii="Times New Roman" w:hAnsi="Times New Roman"/>
          <w:b/>
        </w:rPr>
      </w:pPr>
    </w:p>
    <w:p w:rsidR="00A91E37" w:rsidRPr="004C788F" w:rsidRDefault="00A91E37" w:rsidP="00A91E37">
      <w:pPr>
        <w:pStyle w:val="NoSpacing"/>
        <w:shd w:val="clear" w:color="auto" w:fill="FFFFFF"/>
        <w:jc w:val="both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Aktivnost A120704 Osiguravanje uvjeta rada za redovno poslovanje srednjih škola i učeničkih domova</w:t>
      </w:r>
    </w:p>
    <w:p w:rsidR="00A91E37" w:rsidRPr="004C788F" w:rsidRDefault="00A91E37" w:rsidP="00A91E37">
      <w:pPr>
        <w:pStyle w:val="NoSpacing"/>
        <w:shd w:val="clear" w:color="auto" w:fill="FFFFFF"/>
        <w:jc w:val="both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>Razlog odstupanja:</w:t>
      </w:r>
    </w:p>
    <w:p w:rsidR="00F46FD2" w:rsidRPr="004C788F" w:rsidRDefault="00F46FD2" w:rsidP="00F46FD2">
      <w:pPr>
        <w:jc w:val="both"/>
        <w:rPr>
          <w:sz w:val="22"/>
        </w:rPr>
      </w:pPr>
      <w:r>
        <w:rPr>
          <w:sz w:val="22"/>
        </w:rPr>
        <w:t xml:space="preserve">Kod decentraliziranih sredstava nema odstupanja. Povećanje je kod izvora Ministarstvo znanosti i obrazovanja zbog </w:t>
      </w:r>
      <w:r w:rsidRPr="004C788F">
        <w:rPr>
          <w:sz w:val="22"/>
        </w:rPr>
        <w:t>povećanja osnovice plaća i drugih materijalnih prava.</w:t>
      </w:r>
    </w:p>
    <w:p w:rsidR="00F46FD2" w:rsidRDefault="00F46FD2" w:rsidP="00A91E37">
      <w:pPr>
        <w:jc w:val="left"/>
        <w:rPr>
          <w:b/>
          <w:sz w:val="22"/>
        </w:rPr>
      </w:pPr>
    </w:p>
    <w:p w:rsidR="00A91E37" w:rsidRPr="004C788F" w:rsidRDefault="00A91E37" w:rsidP="00A91E37">
      <w:pPr>
        <w:jc w:val="left"/>
        <w:rPr>
          <w:b/>
          <w:sz w:val="22"/>
        </w:rPr>
      </w:pPr>
      <w:r w:rsidRPr="004C788F">
        <w:rPr>
          <w:b/>
          <w:sz w:val="22"/>
        </w:rPr>
        <w:t>Aktivnost A120706 Investicijska ulaganja u srednje škole i učeničke domove</w:t>
      </w:r>
    </w:p>
    <w:p w:rsidR="00A91E37" w:rsidRDefault="00A91E37" w:rsidP="007E06AB">
      <w:pPr>
        <w:jc w:val="both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8A7B7E" w:rsidRPr="008A7B7E" w:rsidRDefault="008A7B7E" w:rsidP="007E06AB">
      <w:pPr>
        <w:jc w:val="both"/>
        <w:rPr>
          <w:sz w:val="22"/>
        </w:rPr>
      </w:pPr>
      <w:r w:rsidRPr="008A7B7E">
        <w:rPr>
          <w:sz w:val="22"/>
        </w:rPr>
        <w:t>Iznosi su usklađeni s Odlukom Vlade Republike Hrvatske.</w:t>
      </w:r>
    </w:p>
    <w:p w:rsidR="008A7B7E" w:rsidRPr="008A7B7E" w:rsidRDefault="008A7B7E" w:rsidP="007E06AB">
      <w:pPr>
        <w:jc w:val="both"/>
        <w:rPr>
          <w:sz w:val="22"/>
        </w:rPr>
      </w:pPr>
    </w:p>
    <w:p w:rsidR="000104EC" w:rsidRPr="004C788F" w:rsidRDefault="000104EC" w:rsidP="007E06AB">
      <w:pPr>
        <w:jc w:val="both"/>
        <w:rPr>
          <w:b/>
          <w:sz w:val="22"/>
        </w:rPr>
      </w:pPr>
      <w:r w:rsidRPr="004C788F">
        <w:rPr>
          <w:b/>
          <w:sz w:val="22"/>
        </w:rPr>
        <w:t>Kapitalni projekt K120707 Kapitalna ulaganja u srednje škole i učeničke domove</w:t>
      </w:r>
    </w:p>
    <w:p w:rsidR="000104EC" w:rsidRPr="004C788F" w:rsidRDefault="000104EC" w:rsidP="007E06AB">
      <w:pPr>
        <w:jc w:val="both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8A7B7E" w:rsidRDefault="008A7B7E" w:rsidP="008A7B7E">
      <w:pPr>
        <w:jc w:val="both"/>
        <w:rPr>
          <w:sz w:val="22"/>
        </w:rPr>
      </w:pPr>
      <w:r w:rsidRPr="008A7B7E">
        <w:rPr>
          <w:sz w:val="22"/>
        </w:rPr>
        <w:t>Iznosi su usklađeni s Odlukom Vlade Republike Hrvatske.</w:t>
      </w:r>
    </w:p>
    <w:p w:rsidR="00BE64D9" w:rsidRDefault="00BE64D9" w:rsidP="008A7B7E">
      <w:pPr>
        <w:jc w:val="both"/>
        <w:rPr>
          <w:sz w:val="22"/>
        </w:rPr>
      </w:pPr>
    </w:p>
    <w:p w:rsidR="00BE64D9" w:rsidRDefault="00BE64D9" w:rsidP="008A7B7E">
      <w:pPr>
        <w:jc w:val="both"/>
        <w:rPr>
          <w:b/>
          <w:sz w:val="22"/>
        </w:rPr>
      </w:pPr>
      <w:r w:rsidRPr="00BE64D9">
        <w:rPr>
          <w:b/>
          <w:sz w:val="22"/>
        </w:rPr>
        <w:t>Tekući projekt T120708 Školska shema voća i mlijeka</w:t>
      </w:r>
    </w:p>
    <w:p w:rsidR="00BE64D9" w:rsidRDefault="00BE64D9" w:rsidP="008A7B7E">
      <w:pPr>
        <w:jc w:val="both"/>
        <w:rPr>
          <w:b/>
          <w:sz w:val="22"/>
        </w:rPr>
      </w:pPr>
      <w:r>
        <w:rPr>
          <w:b/>
          <w:sz w:val="22"/>
        </w:rPr>
        <w:t>Razlog odstupanja:</w:t>
      </w:r>
    </w:p>
    <w:p w:rsidR="00BE64D9" w:rsidRPr="00BE64D9" w:rsidRDefault="00BE64D9" w:rsidP="008A7B7E">
      <w:pPr>
        <w:jc w:val="both"/>
        <w:rPr>
          <w:sz w:val="22"/>
        </w:rPr>
      </w:pPr>
      <w:r w:rsidRPr="00BE64D9">
        <w:rPr>
          <w:sz w:val="22"/>
        </w:rPr>
        <w:t xml:space="preserve">Iznosi su </w:t>
      </w:r>
      <w:r>
        <w:rPr>
          <w:sz w:val="22"/>
        </w:rPr>
        <w:t>usklađeni prema ostvarenju korištenja školske sheme voća i mlijeka u školskim ustanovama.</w:t>
      </w:r>
    </w:p>
    <w:p w:rsidR="00A9693D" w:rsidRPr="004C788F" w:rsidRDefault="00A9693D" w:rsidP="003E0E19">
      <w:pPr>
        <w:jc w:val="left"/>
        <w:rPr>
          <w:rFonts w:eastAsia="Times New Roman"/>
          <w:b/>
          <w:sz w:val="22"/>
        </w:rPr>
      </w:pPr>
    </w:p>
    <w:p w:rsidR="00B73B29" w:rsidRPr="004C788F" w:rsidRDefault="00B73B29" w:rsidP="003E0E19">
      <w:pPr>
        <w:pStyle w:val="NoSpacing"/>
        <w:pBdr>
          <w:bottom w:val="single" w:sz="12" w:space="1" w:color="auto"/>
        </w:pBdr>
        <w:shd w:val="clear" w:color="auto" w:fill="FFFFFF"/>
        <w:rPr>
          <w:rFonts w:ascii="Times New Roman" w:hAnsi="Times New Roman"/>
          <w:b/>
        </w:rPr>
      </w:pPr>
      <w:r w:rsidRPr="004C788F">
        <w:rPr>
          <w:rFonts w:ascii="Times New Roman" w:hAnsi="Times New Roman"/>
          <w:b/>
        </w:rPr>
        <w:t xml:space="preserve">NAZIV PROGRAMA: </w:t>
      </w:r>
      <w:r w:rsidR="00481D6E" w:rsidRPr="004C788F">
        <w:rPr>
          <w:rFonts w:ascii="Times New Roman" w:hAnsi="Times New Roman"/>
          <w:b/>
        </w:rPr>
        <w:t>Program 1208 Program ustanova u obrazovanju iznad standarda</w:t>
      </w:r>
    </w:p>
    <w:p w:rsidR="00B73B29" w:rsidRPr="004C788F" w:rsidRDefault="00B73B29" w:rsidP="00B73B29">
      <w:pPr>
        <w:pStyle w:val="NoSpacing"/>
        <w:shd w:val="clear" w:color="auto" w:fill="FFFFFF"/>
        <w:rPr>
          <w:rFonts w:ascii="Times New Roman" w:hAnsi="Times New Roman"/>
          <w:b/>
        </w:rPr>
      </w:pP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A120801 Poticanje demografskog razvitka</w:t>
      </w: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9E4830" w:rsidRPr="004C788F" w:rsidRDefault="009C6930" w:rsidP="00481D6E">
      <w:pPr>
        <w:jc w:val="left"/>
        <w:rPr>
          <w:sz w:val="22"/>
        </w:rPr>
      </w:pPr>
      <w:r w:rsidRPr="004C788F">
        <w:rPr>
          <w:sz w:val="22"/>
        </w:rPr>
        <w:t>Z</w:t>
      </w:r>
      <w:r w:rsidR="00F11126" w:rsidRPr="004C788F">
        <w:rPr>
          <w:sz w:val="22"/>
        </w:rPr>
        <w:t>bog velikog povećanja cijen</w:t>
      </w:r>
      <w:r w:rsidRPr="004C788F">
        <w:rPr>
          <w:sz w:val="22"/>
        </w:rPr>
        <w:t>a nakladnika za školske radne materijale</w:t>
      </w:r>
      <w:r w:rsidR="00ED241A" w:rsidRPr="004C788F">
        <w:rPr>
          <w:sz w:val="22"/>
        </w:rPr>
        <w:t xml:space="preserve"> za učenike osnovnih škola od 1. do 8. razreda</w:t>
      </w:r>
      <w:r w:rsidR="009E4830" w:rsidRPr="004C788F">
        <w:rPr>
          <w:sz w:val="22"/>
        </w:rPr>
        <w:t xml:space="preserve"> te nakon provedene javne nabave </w:t>
      </w:r>
      <w:r w:rsidR="00DB0C4E" w:rsidRPr="004C788F">
        <w:rPr>
          <w:sz w:val="22"/>
        </w:rPr>
        <w:t>školskih ustanova</w:t>
      </w:r>
      <w:r w:rsidR="009E4830" w:rsidRPr="004C788F">
        <w:rPr>
          <w:sz w:val="22"/>
        </w:rPr>
        <w:t>,</w:t>
      </w:r>
      <w:r w:rsidR="001E718D">
        <w:rPr>
          <w:sz w:val="22"/>
        </w:rPr>
        <w:t xml:space="preserve"> </w:t>
      </w:r>
      <w:r w:rsidR="00F11126" w:rsidRPr="004C788F">
        <w:rPr>
          <w:sz w:val="22"/>
        </w:rPr>
        <w:t>iznos od 2</w:t>
      </w:r>
      <w:r w:rsidR="00ED241A" w:rsidRPr="004C788F">
        <w:rPr>
          <w:sz w:val="22"/>
        </w:rPr>
        <w:t>.500.000</w:t>
      </w:r>
      <w:r w:rsidR="00F11126" w:rsidRPr="004C788F">
        <w:rPr>
          <w:sz w:val="22"/>
        </w:rPr>
        <w:t xml:space="preserve"> kuna nije bio dostatan za podmirenje </w:t>
      </w:r>
      <w:r w:rsidR="00B728DA" w:rsidRPr="004C788F">
        <w:rPr>
          <w:sz w:val="22"/>
        </w:rPr>
        <w:t>troškova nabave radnih materijala</w:t>
      </w:r>
      <w:r w:rsidR="00F11126" w:rsidRPr="004C788F">
        <w:rPr>
          <w:sz w:val="22"/>
        </w:rPr>
        <w:t xml:space="preserve"> iako se broj učenika u odnosu na prošlu godinu nije značajno promijenio. Iz toga razloga </w:t>
      </w:r>
      <w:r w:rsidR="00B728DA" w:rsidRPr="004C788F">
        <w:rPr>
          <w:sz w:val="22"/>
        </w:rPr>
        <w:t>su sva</w:t>
      </w:r>
      <w:r w:rsidR="00F11126" w:rsidRPr="004C788F">
        <w:rPr>
          <w:sz w:val="22"/>
        </w:rPr>
        <w:t xml:space="preserve"> slobodna sredstva sa svih drugih aktivnosti </w:t>
      </w:r>
      <w:r w:rsidR="00B728DA" w:rsidRPr="004C788F">
        <w:rPr>
          <w:sz w:val="22"/>
        </w:rPr>
        <w:t xml:space="preserve">preusmjerena za ovu aktivnost, a sve iz razloga </w:t>
      </w:r>
      <w:r w:rsidR="00F11126" w:rsidRPr="004C788F">
        <w:rPr>
          <w:sz w:val="22"/>
        </w:rPr>
        <w:t xml:space="preserve">kako bi se </w:t>
      </w:r>
      <w:r w:rsidR="00B728DA" w:rsidRPr="004C788F">
        <w:rPr>
          <w:sz w:val="22"/>
        </w:rPr>
        <w:t xml:space="preserve">u potpusnosti </w:t>
      </w:r>
      <w:r w:rsidR="00F11126" w:rsidRPr="004C788F">
        <w:rPr>
          <w:sz w:val="22"/>
        </w:rPr>
        <w:t>podmirila nastala razlika u iznosu</w:t>
      </w:r>
      <w:r w:rsidR="009E4830" w:rsidRPr="004C788F">
        <w:rPr>
          <w:sz w:val="22"/>
        </w:rPr>
        <w:t xml:space="preserve"> od 536.800 kuna i to sa:</w:t>
      </w:r>
    </w:p>
    <w:p w:rsidR="009E4830" w:rsidRPr="004C788F" w:rsidRDefault="009E4830" w:rsidP="009E4830">
      <w:pPr>
        <w:jc w:val="left"/>
        <w:rPr>
          <w:sz w:val="22"/>
        </w:rPr>
      </w:pPr>
      <w:r w:rsidRPr="004C788F">
        <w:rPr>
          <w:sz w:val="22"/>
        </w:rPr>
        <w:t>Aktivnost A120004 Zaštita, očuvanje i opremanje kulturnih i skaralnih dobara</w:t>
      </w:r>
    </w:p>
    <w:p w:rsidR="009E4830" w:rsidRPr="004C788F" w:rsidRDefault="009E4830" w:rsidP="009E4830">
      <w:pPr>
        <w:jc w:val="left"/>
        <w:rPr>
          <w:sz w:val="22"/>
        </w:rPr>
      </w:pPr>
      <w:r w:rsidRPr="004C788F">
        <w:rPr>
          <w:sz w:val="22"/>
        </w:rPr>
        <w:t>Aktivnost A120209 Potpora razvoja dislociranim učilištima</w:t>
      </w:r>
    </w:p>
    <w:p w:rsidR="009E4830" w:rsidRPr="004C788F" w:rsidRDefault="009E4830" w:rsidP="009E4830">
      <w:pPr>
        <w:jc w:val="left"/>
        <w:rPr>
          <w:sz w:val="22"/>
        </w:rPr>
      </w:pPr>
      <w:r w:rsidRPr="004C788F">
        <w:rPr>
          <w:sz w:val="22"/>
        </w:rPr>
        <w:t>Kapitalni projekt K120806 Sanacija, izgradnja i opremanje igrališta i praćenih objekata</w:t>
      </w:r>
    </w:p>
    <w:p w:rsidR="009E4830" w:rsidRPr="004C788F" w:rsidRDefault="009E4830" w:rsidP="00481D6E">
      <w:pPr>
        <w:jc w:val="left"/>
        <w:rPr>
          <w:sz w:val="22"/>
        </w:rPr>
      </w:pP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A120803 Natjecanja iz znanja učenika</w:t>
      </w: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481D6E" w:rsidRDefault="00481D6E" w:rsidP="00481D6E">
      <w:pPr>
        <w:jc w:val="left"/>
        <w:rPr>
          <w:sz w:val="22"/>
        </w:rPr>
      </w:pPr>
      <w:r w:rsidRPr="004C788F">
        <w:rPr>
          <w:sz w:val="22"/>
        </w:rPr>
        <w:lastRenderedPageBreak/>
        <w:t>Aktivnost je smanjena u iznosu od 43.285 kuna jer su se odradila sva natjecanja iz znanja prema kalendaru</w:t>
      </w:r>
      <w:r w:rsidR="00F11126" w:rsidRPr="004C788F">
        <w:rPr>
          <w:sz w:val="22"/>
        </w:rPr>
        <w:t xml:space="preserve"> u iznosu manjeg od planiranog</w:t>
      </w:r>
      <w:r w:rsidRPr="004C788F">
        <w:rPr>
          <w:sz w:val="22"/>
        </w:rPr>
        <w:t>.</w:t>
      </w:r>
    </w:p>
    <w:p w:rsidR="00C2749F" w:rsidRDefault="00C2749F" w:rsidP="00481D6E">
      <w:pPr>
        <w:jc w:val="left"/>
        <w:rPr>
          <w:sz w:val="22"/>
        </w:rPr>
      </w:pPr>
    </w:p>
    <w:p w:rsidR="00C2749F" w:rsidRDefault="00C2749F" w:rsidP="00481D6E">
      <w:pPr>
        <w:jc w:val="left"/>
        <w:rPr>
          <w:sz w:val="22"/>
        </w:rPr>
      </w:pPr>
    </w:p>
    <w:p w:rsidR="00C2749F" w:rsidRPr="004C788F" w:rsidRDefault="00C2749F" w:rsidP="00481D6E">
      <w:pPr>
        <w:jc w:val="left"/>
        <w:rPr>
          <w:sz w:val="22"/>
        </w:rPr>
      </w:pPr>
    </w:p>
    <w:p w:rsidR="00481D6E" w:rsidRPr="004C788F" w:rsidRDefault="00481D6E" w:rsidP="00481D6E">
      <w:pPr>
        <w:jc w:val="left"/>
        <w:rPr>
          <w:sz w:val="22"/>
        </w:rPr>
      </w:pP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A120804 Financiranje školskih projekata</w:t>
      </w: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8A7B7E" w:rsidRDefault="008A7B7E" w:rsidP="00481D6E">
      <w:pPr>
        <w:jc w:val="left"/>
        <w:rPr>
          <w:sz w:val="22"/>
        </w:rPr>
      </w:pPr>
      <w:r w:rsidRPr="008A7B7E">
        <w:rPr>
          <w:sz w:val="22"/>
        </w:rPr>
        <w:t xml:space="preserve">Školske ustanove su </w:t>
      </w:r>
      <w:r>
        <w:rPr>
          <w:sz w:val="22"/>
        </w:rPr>
        <w:t>vrlo aktivno pratile natječaje i uključile se u Erasmus projekte financirane od fondova EU.</w:t>
      </w:r>
    </w:p>
    <w:p w:rsidR="008A7B7E" w:rsidRDefault="008A7B7E" w:rsidP="00481D6E">
      <w:pPr>
        <w:jc w:val="left"/>
        <w:rPr>
          <w:b/>
          <w:sz w:val="22"/>
        </w:rPr>
      </w:pPr>
    </w:p>
    <w:p w:rsidR="00B63BAE" w:rsidRPr="004C788F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A120808 Nabava udžbenika za učenike OŠ</w:t>
      </w:r>
    </w:p>
    <w:p w:rsidR="00B63BAE" w:rsidRPr="004C788F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4B70B6" w:rsidRDefault="008D232E" w:rsidP="00481D6E">
      <w:pPr>
        <w:jc w:val="left"/>
        <w:rPr>
          <w:sz w:val="22"/>
        </w:rPr>
      </w:pPr>
      <w:r>
        <w:rPr>
          <w:sz w:val="22"/>
        </w:rPr>
        <w:t xml:space="preserve">Dio udžbenika je u upotrebi kroz više školskih godina te nije bilo potrebe za naručivanjem novih udžbenika pa je </w:t>
      </w:r>
      <w:r w:rsidR="004B70B6">
        <w:rPr>
          <w:sz w:val="22"/>
        </w:rPr>
        <w:t>nabava udžbenika manja od planiranog.</w:t>
      </w:r>
    </w:p>
    <w:p w:rsidR="00B63BAE" w:rsidRPr="004C788F" w:rsidRDefault="004B70B6" w:rsidP="00481D6E">
      <w:pPr>
        <w:jc w:val="left"/>
        <w:rPr>
          <w:sz w:val="22"/>
        </w:rPr>
      </w:pPr>
      <w:r>
        <w:rPr>
          <w:sz w:val="22"/>
        </w:rPr>
        <w:t xml:space="preserve"> </w:t>
      </w:r>
    </w:p>
    <w:p w:rsidR="00B63BAE" w:rsidRPr="004C788F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A120809 Programi školskog kurikuluma</w:t>
      </w:r>
    </w:p>
    <w:p w:rsidR="00B63BAE" w:rsidRPr="004C788F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B63BAE" w:rsidRDefault="004B70B6" w:rsidP="00481D6E">
      <w:pPr>
        <w:jc w:val="left"/>
        <w:rPr>
          <w:sz w:val="22"/>
        </w:rPr>
      </w:pPr>
      <w:r>
        <w:rPr>
          <w:sz w:val="22"/>
        </w:rPr>
        <w:t>Ministarstvo znanosti je doznačilo školskim ustanovama više sredstava kako bi se nabavio veći broj lektira i ostal</w:t>
      </w:r>
      <w:r w:rsidR="008D232E">
        <w:rPr>
          <w:sz w:val="22"/>
        </w:rPr>
        <w:t>ih radnih materijala.</w:t>
      </w:r>
    </w:p>
    <w:p w:rsidR="004B70B6" w:rsidRPr="004C788F" w:rsidRDefault="004B70B6" w:rsidP="00481D6E">
      <w:pPr>
        <w:jc w:val="left"/>
        <w:rPr>
          <w:sz w:val="22"/>
        </w:rPr>
      </w:pPr>
    </w:p>
    <w:p w:rsidR="00B63BAE" w:rsidRPr="004C788F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A120810 Ostale aktivnosti osnovnih škola</w:t>
      </w:r>
    </w:p>
    <w:p w:rsidR="00B63BAE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4B70B6" w:rsidRPr="004B70B6" w:rsidRDefault="004B70B6" w:rsidP="00481D6E">
      <w:pPr>
        <w:jc w:val="left"/>
        <w:rPr>
          <w:sz w:val="22"/>
        </w:rPr>
      </w:pPr>
      <w:r w:rsidRPr="004B70B6">
        <w:rPr>
          <w:sz w:val="22"/>
        </w:rPr>
        <w:t xml:space="preserve">Uplate za razne donacije i uplate učenika </w:t>
      </w:r>
      <w:r>
        <w:rPr>
          <w:sz w:val="22"/>
        </w:rPr>
        <w:t>ostvarene su više od planiranog.</w:t>
      </w:r>
    </w:p>
    <w:p w:rsidR="004B70B6" w:rsidRPr="004B70B6" w:rsidRDefault="004B70B6" w:rsidP="00481D6E">
      <w:pPr>
        <w:jc w:val="left"/>
        <w:rPr>
          <w:sz w:val="22"/>
        </w:rPr>
      </w:pPr>
    </w:p>
    <w:p w:rsidR="00B63BAE" w:rsidRPr="004C788F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A120811 Dodatne djelatnosti osnovnih škola</w:t>
      </w:r>
    </w:p>
    <w:p w:rsidR="00B63BAE" w:rsidRPr="004C788F" w:rsidRDefault="00B63BA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B63BAE" w:rsidRPr="004C788F" w:rsidRDefault="008D232E" w:rsidP="00481D6E">
      <w:pPr>
        <w:jc w:val="left"/>
        <w:rPr>
          <w:sz w:val="22"/>
        </w:rPr>
      </w:pPr>
      <w:r>
        <w:rPr>
          <w:sz w:val="22"/>
        </w:rPr>
        <w:t>Povećanje zbog planiranih manje prihoda od iznajmljivanja dvorane</w:t>
      </w:r>
      <w:r w:rsidR="0085465F">
        <w:rPr>
          <w:sz w:val="22"/>
        </w:rPr>
        <w:t>, dvorišnog prostora, naplate dugova iz prijašnjih godina od participacije za glazbenu školu</w:t>
      </w:r>
      <w:r>
        <w:rPr>
          <w:sz w:val="22"/>
        </w:rPr>
        <w:t>.</w:t>
      </w:r>
    </w:p>
    <w:p w:rsidR="00B63BAE" w:rsidRPr="004C788F" w:rsidRDefault="00B63BAE" w:rsidP="00481D6E">
      <w:pPr>
        <w:jc w:val="left"/>
        <w:rPr>
          <w:sz w:val="22"/>
        </w:rPr>
      </w:pPr>
    </w:p>
    <w:p w:rsidR="00697D2A" w:rsidRPr="004C788F" w:rsidRDefault="00697D2A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A120812 Programi školskog kurikuluma srednjih škola i učeničkih domova</w:t>
      </w:r>
    </w:p>
    <w:p w:rsidR="00697D2A" w:rsidRPr="004C788F" w:rsidRDefault="00697D2A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85465F" w:rsidRDefault="0085465F" w:rsidP="0085465F">
      <w:pPr>
        <w:jc w:val="left"/>
        <w:rPr>
          <w:sz w:val="22"/>
        </w:rPr>
      </w:pPr>
      <w:r>
        <w:rPr>
          <w:sz w:val="22"/>
        </w:rPr>
        <w:t>Ministarstvo znanosti je doznačilo školskim ustanovama više sredstava kako bi se nabavio veći broj lektira i ostalih radnih materijala.</w:t>
      </w:r>
    </w:p>
    <w:p w:rsidR="0085465F" w:rsidRPr="004C788F" w:rsidRDefault="0085465F" w:rsidP="0085465F">
      <w:pPr>
        <w:jc w:val="left"/>
        <w:rPr>
          <w:sz w:val="22"/>
        </w:rPr>
      </w:pPr>
    </w:p>
    <w:p w:rsidR="00697D2A" w:rsidRPr="004C788F" w:rsidRDefault="00697D2A" w:rsidP="00697D2A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A120813 Ostale aktivnosti srednjih škola i učeničkih domova</w:t>
      </w:r>
    </w:p>
    <w:p w:rsidR="00697D2A" w:rsidRPr="004C788F" w:rsidRDefault="00697D2A" w:rsidP="00697D2A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85465F" w:rsidRPr="004B70B6" w:rsidRDefault="0085465F" w:rsidP="0085465F">
      <w:pPr>
        <w:jc w:val="left"/>
        <w:rPr>
          <w:sz w:val="22"/>
        </w:rPr>
      </w:pPr>
      <w:r w:rsidRPr="004B70B6">
        <w:rPr>
          <w:sz w:val="22"/>
        </w:rPr>
        <w:t xml:space="preserve">Uplate za razne donacije i uplate učenika </w:t>
      </w:r>
      <w:r>
        <w:rPr>
          <w:sz w:val="22"/>
        </w:rPr>
        <w:t>ostvarene su manje od planiranog.</w:t>
      </w:r>
    </w:p>
    <w:p w:rsidR="00697D2A" w:rsidRPr="004C788F" w:rsidRDefault="00697D2A" w:rsidP="00697D2A">
      <w:pPr>
        <w:jc w:val="left"/>
        <w:rPr>
          <w:sz w:val="22"/>
        </w:rPr>
      </w:pPr>
    </w:p>
    <w:p w:rsidR="00697D2A" w:rsidRPr="004C788F" w:rsidRDefault="00697D2A" w:rsidP="00697D2A">
      <w:pPr>
        <w:jc w:val="left"/>
        <w:rPr>
          <w:b/>
          <w:sz w:val="22"/>
        </w:rPr>
      </w:pPr>
      <w:r w:rsidRPr="004C788F">
        <w:rPr>
          <w:b/>
          <w:sz w:val="22"/>
        </w:rPr>
        <w:t>Aktivnost A120814 Dodatne djelatnosti srednjih škola i učeničkih domova</w:t>
      </w:r>
    </w:p>
    <w:p w:rsidR="00697D2A" w:rsidRPr="004C788F" w:rsidRDefault="00697D2A" w:rsidP="00697D2A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697D2A" w:rsidRDefault="0085465F" w:rsidP="00697D2A">
      <w:pPr>
        <w:jc w:val="left"/>
        <w:rPr>
          <w:sz w:val="22"/>
        </w:rPr>
      </w:pPr>
      <w:r>
        <w:rPr>
          <w:sz w:val="22"/>
        </w:rPr>
        <w:t xml:space="preserve">Povećanje zbog planiranih manje prihoda od iznajmljivanja dvorane, dvorišnog prostora, naplate </w:t>
      </w:r>
      <w:r w:rsidR="00BD2BEC">
        <w:rPr>
          <w:sz w:val="22"/>
        </w:rPr>
        <w:t>od prodaje ulaznica.</w:t>
      </w:r>
    </w:p>
    <w:p w:rsidR="00BE64D9" w:rsidRDefault="00BE64D9" w:rsidP="00697D2A">
      <w:pPr>
        <w:jc w:val="left"/>
        <w:rPr>
          <w:sz w:val="22"/>
        </w:rPr>
      </w:pPr>
    </w:p>
    <w:p w:rsidR="00BE64D9" w:rsidRDefault="00BE64D9" w:rsidP="00697D2A">
      <w:pPr>
        <w:jc w:val="left"/>
        <w:rPr>
          <w:b/>
          <w:sz w:val="22"/>
        </w:rPr>
      </w:pPr>
      <w:r w:rsidRPr="002F071D">
        <w:rPr>
          <w:b/>
          <w:sz w:val="22"/>
        </w:rPr>
        <w:t xml:space="preserve">Aktivnost A120816 Sufinanciranje školske prehrane – Zaklada Hrvatska za djecu </w:t>
      </w:r>
    </w:p>
    <w:p w:rsidR="0060409A" w:rsidRPr="001D1D8A" w:rsidRDefault="001D1D8A" w:rsidP="00697D2A">
      <w:pPr>
        <w:jc w:val="left"/>
        <w:rPr>
          <w:sz w:val="22"/>
        </w:rPr>
      </w:pPr>
      <w:r w:rsidRPr="001D1D8A">
        <w:rPr>
          <w:sz w:val="22"/>
        </w:rPr>
        <w:t>Aktivnost je smanjena za iznos neutrošenih sredstava.</w:t>
      </w:r>
    </w:p>
    <w:p w:rsidR="001D1D8A" w:rsidRDefault="001D1D8A" w:rsidP="00481D6E">
      <w:pPr>
        <w:jc w:val="left"/>
        <w:rPr>
          <w:b/>
          <w:sz w:val="22"/>
        </w:rPr>
      </w:pP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Kapitalni projekt K120806 Sanacija, izgradnja i opremanje igrališta i praćenih objekata</w:t>
      </w:r>
    </w:p>
    <w:p w:rsidR="00481D6E" w:rsidRPr="004C788F" w:rsidRDefault="00481D6E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A6205D" w:rsidRPr="004C788F" w:rsidRDefault="00A6205D" w:rsidP="00A6205D">
      <w:pPr>
        <w:jc w:val="left"/>
        <w:rPr>
          <w:sz w:val="22"/>
        </w:rPr>
      </w:pPr>
      <w:r w:rsidRPr="004C788F">
        <w:rPr>
          <w:sz w:val="22"/>
        </w:rPr>
        <w:t>Sredstva su u potpunosti preusmjerena za financiranje nabave radnih materijala učenika osnovnih škola od 1. do 8. razreda.</w:t>
      </w:r>
    </w:p>
    <w:p w:rsidR="00A6205D" w:rsidRPr="004C788F" w:rsidRDefault="00A6205D" w:rsidP="00481D6E">
      <w:pPr>
        <w:jc w:val="left"/>
        <w:rPr>
          <w:b/>
          <w:sz w:val="22"/>
        </w:rPr>
      </w:pPr>
    </w:p>
    <w:p w:rsidR="003044EC" w:rsidRPr="004C788F" w:rsidRDefault="003044EC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Kapitalni projekt K120807 Energetska obnova školskih objekata</w:t>
      </w:r>
    </w:p>
    <w:p w:rsidR="003044EC" w:rsidRPr="004C788F" w:rsidRDefault="003044EC" w:rsidP="00481D6E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661D78" w:rsidRDefault="00F11126" w:rsidP="00481D6E">
      <w:pPr>
        <w:pStyle w:val="NoSpacing"/>
        <w:shd w:val="clear" w:color="auto" w:fill="FFFFFF"/>
        <w:rPr>
          <w:rFonts w:ascii="Times New Roman" w:hAnsi="Times New Roman"/>
        </w:rPr>
      </w:pPr>
      <w:r w:rsidRPr="004C788F">
        <w:rPr>
          <w:rFonts w:ascii="Times New Roman" w:hAnsi="Times New Roman"/>
        </w:rPr>
        <w:lastRenderedPageBreak/>
        <w:t>Od osiguranih sredstava potrošeno</w:t>
      </w:r>
      <w:r w:rsidR="00A6205D" w:rsidRPr="004C788F">
        <w:rPr>
          <w:rFonts w:ascii="Times New Roman" w:hAnsi="Times New Roman"/>
        </w:rPr>
        <w:t xml:space="preserve"> je</w:t>
      </w:r>
      <w:r w:rsidR="00F46FD2">
        <w:rPr>
          <w:rFonts w:ascii="Times New Roman" w:hAnsi="Times New Roman"/>
        </w:rPr>
        <w:t xml:space="preserve"> </w:t>
      </w:r>
      <w:r w:rsidR="00661D78" w:rsidRPr="004C788F">
        <w:rPr>
          <w:rFonts w:ascii="Times New Roman" w:hAnsi="Times New Roman"/>
        </w:rPr>
        <w:t>164.943 kune</w:t>
      </w:r>
      <w:r w:rsidRPr="004C788F">
        <w:rPr>
          <w:rFonts w:ascii="Times New Roman" w:hAnsi="Times New Roman"/>
        </w:rPr>
        <w:t xml:space="preserve"> za sufinanciranje energetske obnove </w:t>
      </w:r>
      <w:r w:rsidR="00A6205D" w:rsidRPr="004C788F">
        <w:rPr>
          <w:rFonts w:ascii="Times New Roman" w:hAnsi="Times New Roman"/>
        </w:rPr>
        <w:t>OŠ Kuna</w:t>
      </w:r>
      <w:r w:rsidRPr="004C788F">
        <w:rPr>
          <w:rFonts w:ascii="Times New Roman" w:hAnsi="Times New Roman"/>
        </w:rPr>
        <w:t>, a preostala sredstva će se koristiti u idućoj godinu s istom namjenom, odnosno za eneregetske obnove ostalih osnovnih i srednjih škola.</w:t>
      </w:r>
    </w:p>
    <w:p w:rsidR="002555CC" w:rsidRDefault="002555CC" w:rsidP="00481D6E">
      <w:pPr>
        <w:pStyle w:val="NoSpacing"/>
        <w:shd w:val="clear" w:color="auto" w:fill="FFFFFF"/>
        <w:rPr>
          <w:rFonts w:ascii="Times New Roman" w:hAnsi="Times New Roman"/>
        </w:rPr>
      </w:pPr>
    </w:p>
    <w:p w:rsidR="002555CC" w:rsidRDefault="002555CC" w:rsidP="00481D6E">
      <w:pPr>
        <w:pStyle w:val="NoSpacing"/>
        <w:shd w:val="clear" w:color="auto" w:fill="FFFFFF"/>
        <w:rPr>
          <w:rFonts w:ascii="Times New Roman" w:hAnsi="Times New Roman"/>
        </w:rPr>
      </w:pPr>
    </w:p>
    <w:p w:rsidR="002555CC" w:rsidRPr="004C788F" w:rsidRDefault="002555CC" w:rsidP="00481D6E">
      <w:pPr>
        <w:pStyle w:val="NoSpacing"/>
        <w:shd w:val="clear" w:color="auto" w:fill="FFFFFF"/>
        <w:rPr>
          <w:rFonts w:ascii="Times New Roman" w:hAnsi="Times New Roman"/>
        </w:rPr>
      </w:pPr>
    </w:p>
    <w:p w:rsidR="00B04E5F" w:rsidRDefault="00B04E5F" w:rsidP="001B7AFB">
      <w:pPr>
        <w:jc w:val="left"/>
        <w:rPr>
          <w:b/>
          <w:sz w:val="22"/>
        </w:rPr>
      </w:pPr>
    </w:p>
    <w:p w:rsidR="00BD2BEC" w:rsidRDefault="00BD2BEC" w:rsidP="001B7AFB">
      <w:pPr>
        <w:jc w:val="left"/>
        <w:rPr>
          <w:b/>
          <w:sz w:val="22"/>
        </w:rPr>
      </w:pPr>
      <w:r>
        <w:rPr>
          <w:b/>
          <w:sz w:val="22"/>
        </w:rPr>
        <w:t>Kapitalni projekt K120815 Regionalni centar kompetentnosti u sektoru turizam i ugostiteljstvo</w:t>
      </w:r>
    </w:p>
    <w:p w:rsidR="00BD2BEC" w:rsidRDefault="00BD2BEC" w:rsidP="001B7AFB">
      <w:pPr>
        <w:jc w:val="left"/>
        <w:rPr>
          <w:b/>
          <w:sz w:val="22"/>
        </w:rPr>
      </w:pPr>
      <w:r>
        <w:rPr>
          <w:b/>
          <w:sz w:val="22"/>
        </w:rPr>
        <w:t>Razlog odstupanja:</w:t>
      </w:r>
    </w:p>
    <w:p w:rsidR="00BD2BEC" w:rsidRDefault="00BD2BEC" w:rsidP="001B7AFB">
      <w:pPr>
        <w:jc w:val="left"/>
        <w:rPr>
          <w:sz w:val="22"/>
        </w:rPr>
      </w:pPr>
      <w:r w:rsidRPr="00BD2BEC">
        <w:rPr>
          <w:sz w:val="22"/>
        </w:rPr>
        <w:t xml:space="preserve">Smanjenje </w:t>
      </w:r>
      <w:r>
        <w:rPr>
          <w:sz w:val="22"/>
        </w:rPr>
        <w:t>sredstava zbog kašnjenja dijela projekta vezanog za osnovnu infrastrukturu koji je trebao biti završen do kraja 2022. godine pa je prolongirano do kraja 2023. godine.</w:t>
      </w:r>
    </w:p>
    <w:p w:rsidR="002555CC" w:rsidRDefault="002555CC" w:rsidP="001B7AFB">
      <w:pPr>
        <w:jc w:val="left"/>
        <w:rPr>
          <w:sz w:val="22"/>
        </w:rPr>
      </w:pPr>
    </w:p>
    <w:p w:rsidR="001B7AFB" w:rsidRPr="004C788F" w:rsidRDefault="001B7AFB" w:rsidP="001B7AFB">
      <w:pPr>
        <w:jc w:val="left"/>
        <w:rPr>
          <w:b/>
          <w:sz w:val="22"/>
        </w:rPr>
      </w:pPr>
      <w:r w:rsidRPr="004C788F">
        <w:rPr>
          <w:b/>
          <w:sz w:val="22"/>
        </w:rPr>
        <w:t xml:space="preserve">Tekući projekt T120802 Produženi boravak </w:t>
      </w:r>
    </w:p>
    <w:p w:rsidR="001B7AFB" w:rsidRDefault="001B7AFB" w:rsidP="001B7AFB">
      <w:pPr>
        <w:jc w:val="left"/>
        <w:rPr>
          <w:b/>
          <w:sz w:val="22"/>
        </w:rPr>
      </w:pPr>
      <w:r w:rsidRPr="004C788F">
        <w:rPr>
          <w:b/>
          <w:sz w:val="22"/>
        </w:rPr>
        <w:t>Razlog odstupanja:</w:t>
      </w:r>
    </w:p>
    <w:p w:rsidR="00BD2BEC" w:rsidRPr="00BD2BEC" w:rsidRDefault="00C65E38" w:rsidP="001B7AFB">
      <w:pPr>
        <w:jc w:val="left"/>
        <w:rPr>
          <w:sz w:val="22"/>
        </w:rPr>
      </w:pPr>
      <w:r>
        <w:rPr>
          <w:sz w:val="22"/>
        </w:rPr>
        <w:t>Uplate roditelja</w:t>
      </w:r>
      <w:r w:rsidR="00F46FD2">
        <w:rPr>
          <w:sz w:val="22"/>
        </w:rPr>
        <w:t xml:space="preserve"> školskoj ustanovi</w:t>
      </w:r>
      <w:r>
        <w:rPr>
          <w:sz w:val="22"/>
        </w:rPr>
        <w:t xml:space="preserve"> za korištenje produženog boravka ostvarene su manje od planiranog jer su roditelji odustali od korištenja produženog boravka.</w:t>
      </w:r>
    </w:p>
    <w:p w:rsidR="00BD2BEC" w:rsidRDefault="00BD2BEC" w:rsidP="001B7AFB">
      <w:pPr>
        <w:jc w:val="left"/>
        <w:rPr>
          <w:sz w:val="22"/>
        </w:rPr>
      </w:pPr>
    </w:p>
    <w:p w:rsidR="00F46FD2" w:rsidRPr="00BD2BEC" w:rsidRDefault="00F46FD2" w:rsidP="001B7AFB">
      <w:pPr>
        <w:jc w:val="left"/>
        <w:rPr>
          <w:sz w:val="22"/>
        </w:rPr>
      </w:pPr>
    </w:p>
    <w:p w:rsidR="002A752A" w:rsidRPr="004C788F" w:rsidRDefault="002A752A" w:rsidP="00481D6E">
      <w:pPr>
        <w:pStyle w:val="NoSpacing"/>
        <w:shd w:val="clear" w:color="auto" w:fill="FFFFFF"/>
        <w:rPr>
          <w:rFonts w:ascii="Times New Roman" w:hAnsi="Times New Roman"/>
          <w:b/>
          <w:u w:val="single"/>
        </w:rPr>
      </w:pPr>
      <w:r w:rsidRPr="004C788F">
        <w:rPr>
          <w:rFonts w:ascii="Times New Roman" w:hAnsi="Times New Roman"/>
          <w:b/>
          <w:u w:val="single"/>
        </w:rPr>
        <w:t>OBRAZLOŽENJA OSNOVNIH, SREDNJIH ŠKOLA I UČENIČKIH DOMOVA</w:t>
      </w:r>
    </w:p>
    <w:p w:rsidR="002A752A" w:rsidRPr="004C788F" w:rsidRDefault="002A752A" w:rsidP="00481D6E">
      <w:pPr>
        <w:pStyle w:val="NoSpacing"/>
        <w:shd w:val="clear" w:color="auto" w:fill="FFFFFF"/>
        <w:rPr>
          <w:rFonts w:ascii="Times New Roman" w:hAnsi="Times New Roman"/>
          <w:b/>
          <w:u w:val="single"/>
        </w:rPr>
      </w:pPr>
    </w:p>
    <w:p w:rsidR="002A752A" w:rsidRPr="004C788F" w:rsidRDefault="002A752A" w:rsidP="00481D6E">
      <w:pPr>
        <w:pStyle w:val="NoSpacing"/>
        <w:shd w:val="clear" w:color="auto" w:fill="FFFFFF"/>
        <w:rPr>
          <w:rFonts w:ascii="Times New Roman" w:hAnsi="Times New Roman"/>
        </w:rPr>
      </w:pPr>
      <w:r w:rsidRPr="004C788F">
        <w:rPr>
          <w:rFonts w:ascii="Times New Roman" w:hAnsi="Times New Roman"/>
        </w:rPr>
        <w:t xml:space="preserve">Obrazloženja osnovnih, srednjih škola i učeničkih domova su sastavni dio obrazloženja Upravnog odjela za obrazovanje, kulturu i sport te su prilog obrazloženju Upravnog odjela za obrazovanje, kulturu i sport. </w:t>
      </w:r>
    </w:p>
    <w:sectPr w:rsidR="002A752A" w:rsidRPr="004C788F" w:rsidSect="00477A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401" w:rsidRDefault="007A0401" w:rsidP="00BD5B5D">
      <w:r>
        <w:separator/>
      </w:r>
    </w:p>
  </w:endnote>
  <w:endnote w:type="continuationSeparator" w:id="0">
    <w:p w:rsidR="007A0401" w:rsidRDefault="007A0401" w:rsidP="00BD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401" w:rsidRDefault="007A0401" w:rsidP="00BD5B5D">
      <w:r>
        <w:separator/>
      </w:r>
    </w:p>
  </w:footnote>
  <w:footnote w:type="continuationSeparator" w:id="0">
    <w:p w:rsidR="007A0401" w:rsidRDefault="007A0401" w:rsidP="00BD5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3534E"/>
    <w:multiLevelType w:val="hybridMultilevel"/>
    <w:tmpl w:val="22DE12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FF3C35"/>
    <w:multiLevelType w:val="hybridMultilevel"/>
    <w:tmpl w:val="B2AE7460"/>
    <w:lvl w:ilvl="0" w:tplc="5486046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C92C2E"/>
    <w:multiLevelType w:val="hybridMultilevel"/>
    <w:tmpl w:val="39608456"/>
    <w:lvl w:ilvl="0" w:tplc="02DAC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E92"/>
    <w:rsid w:val="000060A3"/>
    <w:rsid w:val="0000720A"/>
    <w:rsid w:val="00007C3D"/>
    <w:rsid w:val="000104EC"/>
    <w:rsid w:val="00015A8D"/>
    <w:rsid w:val="000255CF"/>
    <w:rsid w:val="00033525"/>
    <w:rsid w:val="0003374C"/>
    <w:rsid w:val="000472AF"/>
    <w:rsid w:val="00057818"/>
    <w:rsid w:val="00057A2D"/>
    <w:rsid w:val="00060D1E"/>
    <w:rsid w:val="00062B32"/>
    <w:rsid w:val="00077F94"/>
    <w:rsid w:val="00083228"/>
    <w:rsid w:val="00091FB9"/>
    <w:rsid w:val="000940B7"/>
    <w:rsid w:val="000A2525"/>
    <w:rsid w:val="000B1C19"/>
    <w:rsid w:val="000B3330"/>
    <w:rsid w:val="000B6607"/>
    <w:rsid w:val="000B6A9E"/>
    <w:rsid w:val="000D1048"/>
    <w:rsid w:val="000D31D5"/>
    <w:rsid w:val="000D3AD0"/>
    <w:rsid w:val="000E3E90"/>
    <w:rsid w:val="000E47D8"/>
    <w:rsid w:val="000F0A0E"/>
    <w:rsid w:val="000F10CC"/>
    <w:rsid w:val="000F564B"/>
    <w:rsid w:val="001118D7"/>
    <w:rsid w:val="0011710E"/>
    <w:rsid w:val="0012403F"/>
    <w:rsid w:val="0013173A"/>
    <w:rsid w:val="001351AA"/>
    <w:rsid w:val="00136EE9"/>
    <w:rsid w:val="001402C3"/>
    <w:rsid w:val="00143791"/>
    <w:rsid w:val="00144422"/>
    <w:rsid w:val="001446B1"/>
    <w:rsid w:val="00152779"/>
    <w:rsid w:val="001550E6"/>
    <w:rsid w:val="0015537C"/>
    <w:rsid w:val="00160647"/>
    <w:rsid w:val="00165B68"/>
    <w:rsid w:val="00175F9A"/>
    <w:rsid w:val="00177644"/>
    <w:rsid w:val="001776AB"/>
    <w:rsid w:val="00182A63"/>
    <w:rsid w:val="00190EF7"/>
    <w:rsid w:val="00192231"/>
    <w:rsid w:val="0019277B"/>
    <w:rsid w:val="00194B16"/>
    <w:rsid w:val="001A6F73"/>
    <w:rsid w:val="001B7AFB"/>
    <w:rsid w:val="001B7BF3"/>
    <w:rsid w:val="001C1FAF"/>
    <w:rsid w:val="001C299A"/>
    <w:rsid w:val="001C2DF2"/>
    <w:rsid w:val="001C33AE"/>
    <w:rsid w:val="001C4754"/>
    <w:rsid w:val="001D1D8A"/>
    <w:rsid w:val="001D4263"/>
    <w:rsid w:val="001D4CED"/>
    <w:rsid w:val="001E0A06"/>
    <w:rsid w:val="001E2129"/>
    <w:rsid w:val="001E718D"/>
    <w:rsid w:val="001F126D"/>
    <w:rsid w:val="001F2D5E"/>
    <w:rsid w:val="002035F9"/>
    <w:rsid w:val="00207EC1"/>
    <w:rsid w:val="00207F26"/>
    <w:rsid w:val="00214F92"/>
    <w:rsid w:val="00217092"/>
    <w:rsid w:val="002172C9"/>
    <w:rsid w:val="00223A0B"/>
    <w:rsid w:val="00227046"/>
    <w:rsid w:val="002318F8"/>
    <w:rsid w:val="00233398"/>
    <w:rsid w:val="002351FE"/>
    <w:rsid w:val="00251566"/>
    <w:rsid w:val="002555CC"/>
    <w:rsid w:val="00263D08"/>
    <w:rsid w:val="00270276"/>
    <w:rsid w:val="0027336C"/>
    <w:rsid w:val="002803A5"/>
    <w:rsid w:val="00280D29"/>
    <w:rsid w:val="00284133"/>
    <w:rsid w:val="0028612D"/>
    <w:rsid w:val="002A3516"/>
    <w:rsid w:val="002A752A"/>
    <w:rsid w:val="002B0BE2"/>
    <w:rsid w:val="002C0239"/>
    <w:rsid w:val="002C1682"/>
    <w:rsid w:val="002C2171"/>
    <w:rsid w:val="002C64B3"/>
    <w:rsid w:val="002D0C87"/>
    <w:rsid w:val="002D2EB4"/>
    <w:rsid w:val="002E11C5"/>
    <w:rsid w:val="002E28BC"/>
    <w:rsid w:val="002E3443"/>
    <w:rsid w:val="002E5D39"/>
    <w:rsid w:val="002E7FE0"/>
    <w:rsid w:val="002F071D"/>
    <w:rsid w:val="003013FF"/>
    <w:rsid w:val="00301E2F"/>
    <w:rsid w:val="003044EC"/>
    <w:rsid w:val="0031593B"/>
    <w:rsid w:val="003162FD"/>
    <w:rsid w:val="00327C7B"/>
    <w:rsid w:val="00332781"/>
    <w:rsid w:val="003356DF"/>
    <w:rsid w:val="003362D7"/>
    <w:rsid w:val="0033752F"/>
    <w:rsid w:val="003431CE"/>
    <w:rsid w:val="00366228"/>
    <w:rsid w:val="003704A0"/>
    <w:rsid w:val="00371E31"/>
    <w:rsid w:val="003813BE"/>
    <w:rsid w:val="003A262A"/>
    <w:rsid w:val="003A272D"/>
    <w:rsid w:val="003A38CB"/>
    <w:rsid w:val="003A7D31"/>
    <w:rsid w:val="003B0FA5"/>
    <w:rsid w:val="003B3CB0"/>
    <w:rsid w:val="003B5A9E"/>
    <w:rsid w:val="003C13B8"/>
    <w:rsid w:val="003C1684"/>
    <w:rsid w:val="003C5BF7"/>
    <w:rsid w:val="003D3312"/>
    <w:rsid w:val="003D44EB"/>
    <w:rsid w:val="003D7333"/>
    <w:rsid w:val="003E0C53"/>
    <w:rsid w:val="003E0E19"/>
    <w:rsid w:val="003E3637"/>
    <w:rsid w:val="003F33A1"/>
    <w:rsid w:val="003F5A4C"/>
    <w:rsid w:val="004017E7"/>
    <w:rsid w:val="00406D44"/>
    <w:rsid w:val="00422B12"/>
    <w:rsid w:val="00424982"/>
    <w:rsid w:val="00443775"/>
    <w:rsid w:val="004458D5"/>
    <w:rsid w:val="004518DD"/>
    <w:rsid w:val="00465613"/>
    <w:rsid w:val="00465E42"/>
    <w:rsid w:val="0047512C"/>
    <w:rsid w:val="00477A31"/>
    <w:rsid w:val="00481D6E"/>
    <w:rsid w:val="00495F23"/>
    <w:rsid w:val="004A7309"/>
    <w:rsid w:val="004B70B6"/>
    <w:rsid w:val="004B7ABA"/>
    <w:rsid w:val="004C788F"/>
    <w:rsid w:val="004D2436"/>
    <w:rsid w:val="004D3569"/>
    <w:rsid w:val="004E7967"/>
    <w:rsid w:val="004F6855"/>
    <w:rsid w:val="00513F4C"/>
    <w:rsid w:val="0052751A"/>
    <w:rsid w:val="00533DB3"/>
    <w:rsid w:val="00551EC7"/>
    <w:rsid w:val="00572A02"/>
    <w:rsid w:val="00574A24"/>
    <w:rsid w:val="00587822"/>
    <w:rsid w:val="005A0B5A"/>
    <w:rsid w:val="005A2A85"/>
    <w:rsid w:val="005A607E"/>
    <w:rsid w:val="005B0702"/>
    <w:rsid w:val="005B1DED"/>
    <w:rsid w:val="005D6781"/>
    <w:rsid w:val="005E14F2"/>
    <w:rsid w:val="005E2325"/>
    <w:rsid w:val="005E3572"/>
    <w:rsid w:val="005E5194"/>
    <w:rsid w:val="005F45D4"/>
    <w:rsid w:val="0060409A"/>
    <w:rsid w:val="00604757"/>
    <w:rsid w:val="00606F99"/>
    <w:rsid w:val="0061363D"/>
    <w:rsid w:val="0062248A"/>
    <w:rsid w:val="0063125A"/>
    <w:rsid w:val="00642D75"/>
    <w:rsid w:val="0064678A"/>
    <w:rsid w:val="00656D5A"/>
    <w:rsid w:val="00661205"/>
    <w:rsid w:val="00661D78"/>
    <w:rsid w:val="00674B2B"/>
    <w:rsid w:val="00674B73"/>
    <w:rsid w:val="00690E0E"/>
    <w:rsid w:val="00692B2C"/>
    <w:rsid w:val="00697D2A"/>
    <w:rsid w:val="006A0C19"/>
    <w:rsid w:val="006A5CBD"/>
    <w:rsid w:val="006B6B32"/>
    <w:rsid w:val="006C018F"/>
    <w:rsid w:val="006C5401"/>
    <w:rsid w:val="006F214F"/>
    <w:rsid w:val="006F42F1"/>
    <w:rsid w:val="00706569"/>
    <w:rsid w:val="00707AFE"/>
    <w:rsid w:val="00707E25"/>
    <w:rsid w:val="00717629"/>
    <w:rsid w:val="007229CE"/>
    <w:rsid w:val="007272D7"/>
    <w:rsid w:val="0073601A"/>
    <w:rsid w:val="007417FF"/>
    <w:rsid w:val="00742F98"/>
    <w:rsid w:val="007430B7"/>
    <w:rsid w:val="007566E3"/>
    <w:rsid w:val="007574A3"/>
    <w:rsid w:val="0076081C"/>
    <w:rsid w:val="00775F16"/>
    <w:rsid w:val="00777354"/>
    <w:rsid w:val="00796769"/>
    <w:rsid w:val="007A0401"/>
    <w:rsid w:val="007A5A8B"/>
    <w:rsid w:val="007A7BEC"/>
    <w:rsid w:val="007B7509"/>
    <w:rsid w:val="007C18A9"/>
    <w:rsid w:val="007C4FD4"/>
    <w:rsid w:val="007D443F"/>
    <w:rsid w:val="007D7135"/>
    <w:rsid w:val="007E06AB"/>
    <w:rsid w:val="007E5871"/>
    <w:rsid w:val="007F3D32"/>
    <w:rsid w:val="008157B7"/>
    <w:rsid w:val="0081629B"/>
    <w:rsid w:val="0085465F"/>
    <w:rsid w:val="00873A09"/>
    <w:rsid w:val="008762B9"/>
    <w:rsid w:val="00886522"/>
    <w:rsid w:val="00891079"/>
    <w:rsid w:val="008A2488"/>
    <w:rsid w:val="008A7B7E"/>
    <w:rsid w:val="008B5169"/>
    <w:rsid w:val="008B75B7"/>
    <w:rsid w:val="008C33A5"/>
    <w:rsid w:val="008C3B97"/>
    <w:rsid w:val="008D232E"/>
    <w:rsid w:val="008E1B64"/>
    <w:rsid w:val="008E3C69"/>
    <w:rsid w:val="008E4122"/>
    <w:rsid w:val="009011D0"/>
    <w:rsid w:val="00903C67"/>
    <w:rsid w:val="00905ADF"/>
    <w:rsid w:val="00913763"/>
    <w:rsid w:val="009149ED"/>
    <w:rsid w:val="00915017"/>
    <w:rsid w:val="009160C5"/>
    <w:rsid w:val="00925AE3"/>
    <w:rsid w:val="00936627"/>
    <w:rsid w:val="00936898"/>
    <w:rsid w:val="009458E7"/>
    <w:rsid w:val="00947F1F"/>
    <w:rsid w:val="00960B4D"/>
    <w:rsid w:val="00962E92"/>
    <w:rsid w:val="00963C53"/>
    <w:rsid w:val="00966209"/>
    <w:rsid w:val="00977405"/>
    <w:rsid w:val="00986ABE"/>
    <w:rsid w:val="00993871"/>
    <w:rsid w:val="00993FD7"/>
    <w:rsid w:val="009A0DF9"/>
    <w:rsid w:val="009C5EA8"/>
    <w:rsid w:val="009C60E0"/>
    <w:rsid w:val="009C6930"/>
    <w:rsid w:val="009C743A"/>
    <w:rsid w:val="009D6F8C"/>
    <w:rsid w:val="009E1F12"/>
    <w:rsid w:val="009E30C7"/>
    <w:rsid w:val="009E3296"/>
    <w:rsid w:val="009E4830"/>
    <w:rsid w:val="009E51E1"/>
    <w:rsid w:val="009F0C54"/>
    <w:rsid w:val="00A0250B"/>
    <w:rsid w:val="00A07342"/>
    <w:rsid w:val="00A14918"/>
    <w:rsid w:val="00A26930"/>
    <w:rsid w:val="00A31F41"/>
    <w:rsid w:val="00A37A79"/>
    <w:rsid w:val="00A44055"/>
    <w:rsid w:val="00A52176"/>
    <w:rsid w:val="00A56CB3"/>
    <w:rsid w:val="00A61AA7"/>
    <w:rsid w:val="00A6205D"/>
    <w:rsid w:val="00A65ED8"/>
    <w:rsid w:val="00A701AD"/>
    <w:rsid w:val="00A71436"/>
    <w:rsid w:val="00A72EC3"/>
    <w:rsid w:val="00A867CC"/>
    <w:rsid w:val="00A91E37"/>
    <w:rsid w:val="00A9693D"/>
    <w:rsid w:val="00A96F0E"/>
    <w:rsid w:val="00AA140C"/>
    <w:rsid w:val="00AA70B5"/>
    <w:rsid w:val="00AB7AD5"/>
    <w:rsid w:val="00AC486B"/>
    <w:rsid w:val="00AD65BC"/>
    <w:rsid w:val="00AD6F2F"/>
    <w:rsid w:val="00AE1A1F"/>
    <w:rsid w:val="00AE719A"/>
    <w:rsid w:val="00B04E5F"/>
    <w:rsid w:val="00B11653"/>
    <w:rsid w:val="00B121E1"/>
    <w:rsid w:val="00B14939"/>
    <w:rsid w:val="00B15CCF"/>
    <w:rsid w:val="00B20FF1"/>
    <w:rsid w:val="00B32AB8"/>
    <w:rsid w:val="00B3415B"/>
    <w:rsid w:val="00B343C0"/>
    <w:rsid w:val="00B355F3"/>
    <w:rsid w:val="00B37102"/>
    <w:rsid w:val="00B41062"/>
    <w:rsid w:val="00B42E5E"/>
    <w:rsid w:val="00B555F3"/>
    <w:rsid w:val="00B573BE"/>
    <w:rsid w:val="00B63BAE"/>
    <w:rsid w:val="00B71835"/>
    <w:rsid w:val="00B71B5B"/>
    <w:rsid w:val="00B728DA"/>
    <w:rsid w:val="00B73B29"/>
    <w:rsid w:val="00B81D79"/>
    <w:rsid w:val="00B9601B"/>
    <w:rsid w:val="00B97388"/>
    <w:rsid w:val="00BA00F9"/>
    <w:rsid w:val="00BA51CF"/>
    <w:rsid w:val="00BD2BEC"/>
    <w:rsid w:val="00BD5B5D"/>
    <w:rsid w:val="00BD7A18"/>
    <w:rsid w:val="00BE36E5"/>
    <w:rsid w:val="00BE64D9"/>
    <w:rsid w:val="00BF0713"/>
    <w:rsid w:val="00BF5DF5"/>
    <w:rsid w:val="00BF7BD2"/>
    <w:rsid w:val="00C10322"/>
    <w:rsid w:val="00C14651"/>
    <w:rsid w:val="00C23C34"/>
    <w:rsid w:val="00C24CEC"/>
    <w:rsid w:val="00C256B1"/>
    <w:rsid w:val="00C2749F"/>
    <w:rsid w:val="00C34618"/>
    <w:rsid w:val="00C35A9F"/>
    <w:rsid w:val="00C42FCC"/>
    <w:rsid w:val="00C479DB"/>
    <w:rsid w:val="00C54023"/>
    <w:rsid w:val="00C57F56"/>
    <w:rsid w:val="00C65E38"/>
    <w:rsid w:val="00C66F51"/>
    <w:rsid w:val="00C71CEF"/>
    <w:rsid w:val="00C729FB"/>
    <w:rsid w:val="00C808EF"/>
    <w:rsid w:val="00C85BF3"/>
    <w:rsid w:val="00C93A34"/>
    <w:rsid w:val="00C9534C"/>
    <w:rsid w:val="00CA2AC7"/>
    <w:rsid w:val="00CB171A"/>
    <w:rsid w:val="00CB5333"/>
    <w:rsid w:val="00CB75E5"/>
    <w:rsid w:val="00CC1C3B"/>
    <w:rsid w:val="00CD2DC8"/>
    <w:rsid w:val="00CD34A2"/>
    <w:rsid w:val="00CD67FD"/>
    <w:rsid w:val="00CE1881"/>
    <w:rsid w:val="00CF1D77"/>
    <w:rsid w:val="00CF5E07"/>
    <w:rsid w:val="00D046F9"/>
    <w:rsid w:val="00D06472"/>
    <w:rsid w:val="00D064EB"/>
    <w:rsid w:val="00D07939"/>
    <w:rsid w:val="00D16C29"/>
    <w:rsid w:val="00D22580"/>
    <w:rsid w:val="00D262F3"/>
    <w:rsid w:val="00D26DC3"/>
    <w:rsid w:val="00D30775"/>
    <w:rsid w:val="00D317BA"/>
    <w:rsid w:val="00D3436E"/>
    <w:rsid w:val="00D43AD2"/>
    <w:rsid w:val="00D520D2"/>
    <w:rsid w:val="00D6049E"/>
    <w:rsid w:val="00D80C99"/>
    <w:rsid w:val="00DA1346"/>
    <w:rsid w:val="00DA2C06"/>
    <w:rsid w:val="00DA42C0"/>
    <w:rsid w:val="00DA70E2"/>
    <w:rsid w:val="00DA783C"/>
    <w:rsid w:val="00DB0C4E"/>
    <w:rsid w:val="00DB1367"/>
    <w:rsid w:val="00DB6078"/>
    <w:rsid w:val="00DD2204"/>
    <w:rsid w:val="00DD6D46"/>
    <w:rsid w:val="00DE13AB"/>
    <w:rsid w:val="00DE1681"/>
    <w:rsid w:val="00DE6001"/>
    <w:rsid w:val="00DF287C"/>
    <w:rsid w:val="00DF7E6E"/>
    <w:rsid w:val="00E0096C"/>
    <w:rsid w:val="00E05745"/>
    <w:rsid w:val="00E06B7E"/>
    <w:rsid w:val="00E070FC"/>
    <w:rsid w:val="00E10A82"/>
    <w:rsid w:val="00E16ED1"/>
    <w:rsid w:val="00E20DC6"/>
    <w:rsid w:val="00E2511A"/>
    <w:rsid w:val="00E25176"/>
    <w:rsid w:val="00E27F48"/>
    <w:rsid w:val="00E36F12"/>
    <w:rsid w:val="00E41AD3"/>
    <w:rsid w:val="00E52E2D"/>
    <w:rsid w:val="00E55C25"/>
    <w:rsid w:val="00E67828"/>
    <w:rsid w:val="00E77041"/>
    <w:rsid w:val="00E83D29"/>
    <w:rsid w:val="00E91D86"/>
    <w:rsid w:val="00E93A50"/>
    <w:rsid w:val="00E93D89"/>
    <w:rsid w:val="00EA7131"/>
    <w:rsid w:val="00EB34FE"/>
    <w:rsid w:val="00EC3EAC"/>
    <w:rsid w:val="00EC42F9"/>
    <w:rsid w:val="00EC541F"/>
    <w:rsid w:val="00ED1100"/>
    <w:rsid w:val="00ED241A"/>
    <w:rsid w:val="00F07AD0"/>
    <w:rsid w:val="00F11126"/>
    <w:rsid w:val="00F129D7"/>
    <w:rsid w:val="00F3607D"/>
    <w:rsid w:val="00F46E6A"/>
    <w:rsid w:val="00F46FD2"/>
    <w:rsid w:val="00F5060D"/>
    <w:rsid w:val="00F50F8F"/>
    <w:rsid w:val="00F51274"/>
    <w:rsid w:val="00F65765"/>
    <w:rsid w:val="00F67340"/>
    <w:rsid w:val="00F717A9"/>
    <w:rsid w:val="00F7749D"/>
    <w:rsid w:val="00F808E5"/>
    <w:rsid w:val="00F845B9"/>
    <w:rsid w:val="00F86446"/>
    <w:rsid w:val="00FA5508"/>
    <w:rsid w:val="00FC6121"/>
    <w:rsid w:val="00FD15B0"/>
    <w:rsid w:val="00FD1621"/>
    <w:rsid w:val="00FD1F23"/>
    <w:rsid w:val="00FD64D7"/>
    <w:rsid w:val="00FE7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285E"/>
  <w15:docId w15:val="{3DE51D76-31B5-47AD-B440-DA200991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E92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962E92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962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B5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B5D"/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0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062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3607D"/>
    <w:pPr>
      <w:spacing w:after="200"/>
      <w:ind w:left="720"/>
      <w:contextualSpacing/>
      <w:jc w:val="both"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5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1009A-0922-4C86-B8EA-E4531FE8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1977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</dc:creator>
  <cp:lastModifiedBy>Windows User</cp:lastModifiedBy>
  <cp:revision>26</cp:revision>
  <cp:lastPrinted>2022-12-05T07:34:00Z</cp:lastPrinted>
  <dcterms:created xsi:type="dcterms:W3CDTF">2022-12-05T06:54:00Z</dcterms:created>
  <dcterms:modified xsi:type="dcterms:W3CDTF">2022-12-05T09:33:00Z</dcterms:modified>
</cp:coreProperties>
</file>