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EDF" w:rsidRPr="007B3272" w:rsidRDefault="002B2EDF" w:rsidP="005F2894">
      <w:pPr>
        <w:tabs>
          <w:tab w:val="left" w:pos="0"/>
        </w:tabs>
        <w:ind w:right="6237"/>
        <w:jc w:val="center"/>
        <w:rPr>
          <w:rFonts w:ascii="Arial" w:hAnsi="Arial" w:cs="Arial"/>
          <w:sz w:val="22"/>
          <w:szCs w:val="22"/>
          <w:lang w:val="hr-HR"/>
        </w:rPr>
      </w:pPr>
    </w:p>
    <w:p w:rsidR="00373882" w:rsidRPr="00754722" w:rsidRDefault="00373882" w:rsidP="005F2894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Arial" w:hAnsi="Arial" w:cs="Arial"/>
          <w:b/>
          <w:sz w:val="24"/>
          <w:szCs w:val="28"/>
        </w:rPr>
      </w:pPr>
      <w:r w:rsidRPr="00754722">
        <w:rPr>
          <w:rFonts w:ascii="Arial" w:hAnsi="Arial" w:cs="Arial"/>
          <w:b/>
          <w:sz w:val="24"/>
          <w:szCs w:val="28"/>
        </w:rPr>
        <w:t>OBRAZLOŽENJE</w:t>
      </w:r>
    </w:p>
    <w:p w:rsidR="00373882" w:rsidRPr="00754722" w:rsidRDefault="00373882" w:rsidP="005F2894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Arial" w:hAnsi="Arial" w:cs="Arial"/>
          <w:b/>
          <w:sz w:val="24"/>
          <w:szCs w:val="28"/>
        </w:rPr>
      </w:pPr>
    </w:p>
    <w:p w:rsidR="00373882" w:rsidRPr="00754722" w:rsidRDefault="00373882" w:rsidP="005F2894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Arial" w:hAnsi="Arial" w:cs="Arial"/>
          <w:b/>
          <w:sz w:val="24"/>
          <w:szCs w:val="28"/>
        </w:rPr>
      </w:pPr>
      <w:r w:rsidRPr="00754722">
        <w:rPr>
          <w:rFonts w:ascii="Arial" w:hAnsi="Arial" w:cs="Arial"/>
          <w:b/>
          <w:sz w:val="24"/>
          <w:szCs w:val="28"/>
        </w:rPr>
        <w:t xml:space="preserve">PRIJEDLOGA II. IZMJENA I DOPUNA PRORAČUNA DUBROVAČKO-NERETVANSKE ŽUPANIJE </w:t>
      </w:r>
      <w:r w:rsidR="00BD2796">
        <w:rPr>
          <w:rFonts w:ascii="Arial" w:hAnsi="Arial" w:cs="Arial"/>
          <w:b/>
          <w:sz w:val="24"/>
          <w:szCs w:val="28"/>
        </w:rPr>
        <w:t>ZA 2022. I PROJEKCIJA ZA 2023. I</w:t>
      </w:r>
      <w:r w:rsidRPr="00754722">
        <w:rPr>
          <w:rFonts w:ascii="Arial" w:hAnsi="Arial" w:cs="Arial"/>
          <w:b/>
          <w:sz w:val="24"/>
          <w:szCs w:val="28"/>
        </w:rPr>
        <w:t xml:space="preserve"> 2024. GODINU</w:t>
      </w:r>
    </w:p>
    <w:p w:rsidR="00373882" w:rsidRPr="00373882" w:rsidRDefault="00373882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</w:p>
    <w:p w:rsidR="0084495B" w:rsidRPr="00373882" w:rsidRDefault="009F20B8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u w:val="single"/>
          <w:lang w:val="hr-HR"/>
        </w:rPr>
      </w:pPr>
      <w:r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>Razdjela 1</w:t>
      </w:r>
      <w:r w:rsidR="00C07C34"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>05</w:t>
      </w:r>
      <w:r w:rsid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- Upravnog odjela za </w:t>
      </w:r>
      <w:r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>zaštitu okoliša</w:t>
      </w:r>
      <w:r w:rsidR="00D23303"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i komunalne poslove</w:t>
      </w:r>
      <w:r w:rsidR="00EE4DD3" w:rsidRPr="0037388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, </w:t>
      </w:r>
    </w:p>
    <w:p w:rsidR="0084495B" w:rsidRPr="00C62FB2" w:rsidRDefault="00EE4DD3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u w:val="single"/>
          <w:lang w:val="hr-HR"/>
        </w:rPr>
      </w:pPr>
      <w:r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>Glava 1</w:t>
      </w:r>
      <w:r w:rsidR="00C62FB2"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>0501 ZAŠTITA OKOLIŠA</w:t>
      </w:r>
      <w:r w:rsidR="00C07C34"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I KOMUNALNI POSLOVI</w:t>
      </w:r>
      <w:r w:rsidRPr="00C62FB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</w:t>
      </w:r>
    </w:p>
    <w:p w:rsidR="007462FA" w:rsidRPr="00373882" w:rsidRDefault="007462FA" w:rsidP="00807AF8">
      <w:pPr>
        <w:ind w:left="993" w:right="15" w:hanging="993"/>
        <w:jc w:val="center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7479"/>
      </w:tblGrid>
      <w:tr w:rsidR="00A31AF4" w:rsidRPr="00373882" w:rsidTr="00373882">
        <w:trPr>
          <w:jc w:val="center"/>
        </w:trPr>
        <w:tc>
          <w:tcPr>
            <w:tcW w:w="10348" w:type="dxa"/>
            <w:gridSpan w:val="2"/>
            <w:shd w:val="clear" w:color="auto" w:fill="auto"/>
            <w:vAlign w:val="center"/>
          </w:tcPr>
          <w:p w:rsidR="00A31AF4" w:rsidRPr="00373882" w:rsidRDefault="00A31AF4" w:rsidP="00A31AF4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GL</w:t>
            </w:r>
            <w:r w:rsidR="00C62FB2">
              <w:rPr>
                <w:rFonts w:ascii="Arial" w:hAnsi="Arial" w:cs="Arial"/>
                <w:b/>
                <w:sz w:val="22"/>
                <w:szCs w:val="22"/>
                <w:lang w:val="hr-HR"/>
              </w:rPr>
              <w:t>AVA: 10501 ZAŠTITA OKOLIŠA I KOMUNALNI POSLOVI</w:t>
            </w:r>
            <w:r w:rsidR="0015417C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431FE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C62FB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</w:t>
            </w:r>
            <w:r w:rsidR="00431FE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15417C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-168.787,47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</w:tcPr>
          <w:p w:rsidR="00C07C34" w:rsidRPr="00373882" w:rsidRDefault="00C07C34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Program 1500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480432" w:rsidP="006175C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Komunalna infrastruktura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  <w:r w:rsidR="00994A8B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+227.712,53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kn</w:t>
            </w:r>
          </w:p>
        </w:tc>
      </w:tr>
      <w:tr w:rsidR="00480432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  <w:hideMark/>
          </w:tcPr>
          <w:p w:rsidR="00480432" w:rsidRPr="00373882" w:rsidRDefault="00480432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0" w:name="_Hlk119923334"/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Aktivnost  A150005</w:t>
            </w:r>
          </w:p>
        </w:tc>
        <w:tc>
          <w:tcPr>
            <w:tcW w:w="7479" w:type="dxa"/>
            <w:shd w:val="clear" w:color="auto" w:fill="auto"/>
          </w:tcPr>
          <w:p w:rsidR="00480432" w:rsidRPr="00373882" w:rsidRDefault="00480432" w:rsidP="00347D41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Obveze po sudskim spo</w:t>
            </w:r>
            <w:r w:rsidR="006D1807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rovima</w:t>
            </w:r>
            <w:r w:rsidR="006D1807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6D180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+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  <w:r w:rsidR="00994A8B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2</w:t>
            </w:r>
            <w:r w:rsidR="006D180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7.712,53 kn</w:t>
            </w:r>
          </w:p>
        </w:tc>
      </w:tr>
      <w:tr w:rsidR="00480432" w:rsidRPr="00373882" w:rsidTr="00373882">
        <w:trPr>
          <w:jc w:val="center"/>
        </w:trPr>
        <w:tc>
          <w:tcPr>
            <w:tcW w:w="2869" w:type="dxa"/>
            <w:shd w:val="clear" w:color="auto" w:fill="auto"/>
            <w:hideMark/>
          </w:tcPr>
          <w:p w:rsidR="00480432" w:rsidRPr="00373882" w:rsidRDefault="00480432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  <w:hideMark/>
          </w:tcPr>
          <w:p w:rsidR="00480432" w:rsidRPr="00373882" w:rsidRDefault="00480432" w:rsidP="00BF05EF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1.1.1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Dodana je nova aktivnost koja se odnosi na plaćanje troškova sudskog spora za postupke pred Upravnim sudom u Splitu, a sukladno sudskim presudama (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doda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ne su stavke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konta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329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–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Ostali nespomenuti rashodi poslovanja u iznosu od </w:t>
            </w:r>
            <w:r w:rsidR="00994A8B" w:rsidRPr="00373882">
              <w:rPr>
                <w:rFonts w:ascii="Arial" w:hAnsi="Arial" w:cs="Arial"/>
                <w:sz w:val="22"/>
                <w:szCs w:val="22"/>
                <w:lang w:val="hr-HR"/>
              </w:rPr>
              <w:t>20.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400,00 kn, konta 343 Ostali financijski rashodi u iznosu od 281,28 kn i konta 383 Kazne, penali i naknade štete u iznosu od 7.031,25 kn)</w:t>
            </w:r>
          </w:p>
        </w:tc>
      </w:tr>
      <w:tr w:rsidR="0048043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480432" w:rsidRPr="00373882" w:rsidRDefault="00480432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480432" w:rsidRPr="00373882" w:rsidRDefault="00480432" w:rsidP="006D1807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>1.1.1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– </w:t>
            </w:r>
            <w:r w:rsidR="006D180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Opći prihodi i primici </w:t>
            </w:r>
          </w:p>
        </w:tc>
      </w:tr>
      <w:bookmarkEnd w:id="0"/>
      <w:tr w:rsidR="006D1807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  <w:hideMark/>
          </w:tcPr>
          <w:p w:rsidR="006D1807" w:rsidRPr="00373882" w:rsidRDefault="008215FE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Kapitalni projekt</w:t>
            </w:r>
            <w:r w:rsidR="006D1807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K</w:t>
            </w:r>
            <w:r w:rsidR="006D1807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150003</w:t>
            </w:r>
          </w:p>
        </w:tc>
        <w:tc>
          <w:tcPr>
            <w:tcW w:w="7479" w:type="dxa"/>
            <w:shd w:val="clear" w:color="auto" w:fill="auto"/>
          </w:tcPr>
          <w:p w:rsidR="007B3272" w:rsidRPr="00373882" w:rsidRDefault="006D1807" w:rsidP="00347D41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Sufinanciranje programa i projekata JLS – komunalna infrastruktura</w:t>
            </w:r>
          </w:p>
          <w:p w:rsidR="006D1807" w:rsidRPr="00373882" w:rsidRDefault="006D1807" w:rsidP="00347D41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lang w:val="hr-HR"/>
              </w:rPr>
              <w:t xml:space="preserve">    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                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</w:t>
            </w:r>
            <w:r w:rsidR="008215FE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-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50.000,00 kn</w:t>
            </w:r>
          </w:p>
        </w:tc>
      </w:tr>
      <w:tr w:rsidR="006D1807" w:rsidRPr="00373882" w:rsidTr="00373882">
        <w:trPr>
          <w:jc w:val="center"/>
        </w:trPr>
        <w:tc>
          <w:tcPr>
            <w:tcW w:w="2869" w:type="dxa"/>
            <w:shd w:val="clear" w:color="auto" w:fill="auto"/>
            <w:hideMark/>
          </w:tcPr>
          <w:p w:rsidR="006D1807" w:rsidRPr="00373882" w:rsidRDefault="006D1807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  <w:hideMark/>
          </w:tcPr>
          <w:p w:rsidR="006D1807" w:rsidRPr="00373882" w:rsidRDefault="006D1807" w:rsidP="00BF05EF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Umanjenje se odnosi na neutrošeni dio sredstava po provedenom javnom natječaju za sufinanciranje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komunalne infrastrukture JLS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)</w:t>
            </w:r>
          </w:p>
        </w:tc>
      </w:tr>
      <w:tr w:rsidR="006D1807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6D1807" w:rsidRPr="00373882" w:rsidRDefault="006D1807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1" w:name="_Hlk120782303"/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6D1807" w:rsidRPr="00373882" w:rsidRDefault="006D1807" w:rsidP="00347D41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– Opći prihodi i primici </w:t>
            </w:r>
          </w:p>
        </w:tc>
      </w:tr>
      <w:tr w:rsidR="00BF05EF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Kapitalni projekt K15000</w:t>
            </w:r>
            <w:r w:rsidR="00994A8B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6</w:t>
            </w:r>
          </w:p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</w:p>
        </w:tc>
        <w:tc>
          <w:tcPr>
            <w:tcW w:w="7479" w:type="dxa"/>
            <w:shd w:val="clear" w:color="auto" w:fill="auto"/>
          </w:tcPr>
          <w:p w:rsidR="00BF05EF" w:rsidRPr="00373882" w:rsidRDefault="00FF55CA" w:rsidP="00BF05EF">
            <w:pPr>
              <w:shd w:val="clear" w:color="auto" w:fill="FFFFFF"/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 xml:space="preserve">Izrada </w:t>
            </w:r>
            <w:r w:rsidR="00994A8B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>mreže linija</w:t>
            </w:r>
            <w:r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 xml:space="preserve"> javnog županijskog autobusnog prijevoza putnika na području Dubrovačko-neretvanske županije </w:t>
            </w:r>
            <w:r w:rsidR="00BF05EF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>+</w:t>
            </w:r>
            <w:r w:rsidR="00994A8B" w:rsidRPr="0037388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  <w:t>250.000,00 kn</w:t>
            </w:r>
          </w:p>
        </w:tc>
      </w:tr>
      <w:tr w:rsidR="00BF05EF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FF55CA" w:rsidRPr="00373882" w:rsidRDefault="00BF05EF" w:rsidP="00FF55CA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Dodan je novi Kapitalni projekt, a odnosi se na ugovaranje izrade </w:t>
            </w:r>
            <w:r w:rsidR="00FF55CA" w:rsidRPr="00373882">
              <w:rPr>
                <w:rFonts w:ascii="Arial" w:hAnsi="Arial" w:cs="Arial"/>
                <w:sz w:val="22"/>
                <w:szCs w:val="22"/>
                <w:lang w:val="hr-HR"/>
              </w:rPr>
              <w:t>analize postojeće mreže linija javnog županijskog autobusnog prijevoza putnika na području Dubrovačko-neretvanske županije uz nacrt prijedloga optimizacije, sukladno obvezi prema Zakonu o prijevozu u cestovnom prometu, a što predstavlja temelj za sklapanje ugovora o javnoj usluzi prijevoza s prijevoznicima radi obavljanja autobusnog županijskog linijskog prijevoza na području DNŽ</w:t>
            </w:r>
          </w:p>
          <w:p w:rsidR="00BF05EF" w:rsidRPr="00373882" w:rsidRDefault="00BF05EF" w:rsidP="00FF55CA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BF05EF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BF05EF" w:rsidRPr="00373882" w:rsidRDefault="00BF05EF" w:rsidP="00BF05EF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  <w:r w:rsidRPr="0037388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79" w:type="dxa"/>
            <w:shd w:val="clear" w:color="auto" w:fill="auto"/>
          </w:tcPr>
          <w:p w:rsidR="00BF05EF" w:rsidRPr="00373882" w:rsidRDefault="00BF05EF" w:rsidP="00BF05EF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– Opći prihodi i primici</w:t>
            </w:r>
          </w:p>
        </w:tc>
      </w:tr>
      <w:bookmarkEnd w:id="1"/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</w:tcPr>
          <w:p w:rsidR="00C07C34" w:rsidRPr="00373882" w:rsidRDefault="00C07C34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Program 150</w:t>
            </w:r>
            <w:r w:rsidR="00E00A7F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E00A7F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Unapređenje zaštite okoliša i prirode</w:t>
            </w:r>
            <w:r w:rsidR="004F5734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</w:t>
            </w:r>
            <w:r w:rsidR="00575534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4F5734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</w:t>
            </w:r>
            <w:r w:rsidR="008E7A0B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</w:t>
            </w:r>
            <w:r w:rsidR="008A3F7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- 9</w:t>
            </w:r>
            <w:r w:rsidR="006B319D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9</w:t>
            </w:r>
            <w:r w:rsidR="008A3F7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.</w:t>
            </w:r>
            <w:r w:rsidR="007B3272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5</w:t>
            </w:r>
            <w:r w:rsidR="008A3F77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00,00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vAlign w:val="center"/>
            <w:hideMark/>
          </w:tcPr>
          <w:p w:rsidR="00C07C34" w:rsidRPr="00373882" w:rsidRDefault="00E00A7F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2" w:name="_Hlk119922753"/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Aktivnost</w:t>
            </w:r>
            <w:r w:rsidR="00C07C34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 xml:space="preserve">  A150</w:t>
            </w:r>
            <w:r w:rsidR="00E06491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104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E06491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Sufinanciranje projekata i programa udruga i institucija iz područja zaštite okoliša i prirode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07532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- </w:t>
            </w:r>
            <w:r w:rsidR="00445A78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1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7.000</w:t>
            </w:r>
            <w:r w:rsidR="008B7250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,00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  <w:hideMark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  <w:hideMark/>
          </w:tcPr>
          <w:p w:rsidR="00C07C34" w:rsidRPr="00373882" w:rsidRDefault="00FA77D5" w:rsidP="00F84260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– Opći prihodi i primici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Umanjenje se odnosi na 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s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kidanje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sredst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>a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va s konta 329 - Ostali nespomenuti rashodi poslovanja u iznosu od 10.000 kuna</w:t>
            </w:r>
            <w:r w:rsidR="00445A78" w:rsidRPr="00373882">
              <w:rPr>
                <w:rFonts w:ascii="Arial" w:hAnsi="Arial" w:cs="Arial"/>
                <w:sz w:val="22"/>
                <w:szCs w:val="22"/>
                <w:lang w:val="hr-HR"/>
              </w:rPr>
              <w:t>, konta 366 Pomoći proračunskih korisnika drugih proračuna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 povećanje na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kont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>u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381 Tekuće donacije - 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za 3.000,00 kn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radi sufinanciranja provedbe 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međunarodnog projekta </w:t>
            </w:r>
            <w:r w:rsidR="00E06491" w:rsidRPr="00373882">
              <w:rPr>
                <w:rFonts w:ascii="Arial" w:hAnsi="Arial" w:cs="Arial"/>
                <w:sz w:val="22"/>
                <w:szCs w:val="22"/>
                <w:lang w:val="hr-HR"/>
              </w:rPr>
              <w:t>EKO škola</w:t>
            </w:r>
            <w:r w:rsidR="008B7250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udruzi Lijepa Naša iz Zagreba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567947" w:rsidRPr="00373882" w:rsidRDefault="00FA77D5" w:rsidP="00567947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– Opći prihodi i primici</w:t>
            </w:r>
          </w:p>
        </w:tc>
      </w:tr>
      <w:bookmarkEnd w:id="2"/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C07C34" w:rsidRPr="00373882" w:rsidRDefault="0047308F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Aktivnost  A15010</w:t>
            </w:r>
            <w:r w:rsidR="00FA77D5" w:rsidRPr="0037388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6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FA77D5" w:rsidP="006175C9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Sudjelovanje u aktivnostima u području zaštite okoliša i prirode</w:t>
            </w:r>
            <w:r w:rsidR="00C07C34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</w:t>
            </w:r>
          </w:p>
          <w:p w:rsidR="00C07C34" w:rsidRPr="00373882" w:rsidRDefault="00567947" w:rsidP="00567947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                                </w:t>
            </w:r>
            <w:r w:rsidR="00FA77D5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</w:t>
            </w:r>
            <w:r w:rsidR="0007532D"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</w:t>
            </w:r>
            <w:r w:rsidR="00FA77D5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82.500,00</w:t>
            </w:r>
            <w:r w:rsidR="00C07C34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C07C34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C07C34" w:rsidRPr="00373882" w:rsidRDefault="00F84260" w:rsidP="00567947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(</w:t>
            </w:r>
            <w:r w:rsidR="007A708C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Izvor 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>1.1.1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)</w:t>
            </w:r>
            <w:r w:rsidR="007A708C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Smanjenje</w:t>
            </w:r>
            <w:r w:rsidR="0047308F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se odnosi na 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>umanjenje</w:t>
            </w:r>
            <w:r w:rsidR="006C49A6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8A3F7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iznosa </w:t>
            </w:r>
            <w:r w:rsidR="00942E6D" w:rsidRPr="00373882">
              <w:rPr>
                <w:rFonts w:ascii="Arial" w:hAnsi="Arial" w:cs="Arial"/>
                <w:sz w:val="22"/>
                <w:szCs w:val="22"/>
                <w:lang w:val="hr-HR"/>
              </w:rPr>
              <w:t>sredstava na kontu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323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FA77D5" w:rsidRPr="00373882">
              <w:rPr>
                <w:rFonts w:ascii="Arial" w:hAnsi="Arial" w:cs="Arial"/>
                <w:sz w:val="22"/>
                <w:szCs w:val="22"/>
                <w:lang w:val="hr-HR"/>
              </w:rPr>
              <w:t>Rashodi za usluge</w:t>
            </w:r>
            <w:r w:rsidR="00942E6D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za 82.500,00 kn. Isti iznos će se planirati na glavi Javne ustanove za upravljanje zaštićenim dijelovima prirode  za </w:t>
            </w:r>
            <w:r w:rsidR="008A3F77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financiranje </w:t>
            </w:r>
            <w:r w:rsidR="00942E6D" w:rsidRPr="00373882">
              <w:rPr>
                <w:rFonts w:ascii="Arial" w:hAnsi="Arial" w:cs="Arial"/>
                <w:sz w:val="22"/>
                <w:szCs w:val="22"/>
                <w:lang w:val="hr-HR"/>
              </w:rPr>
              <w:t>provedbu aktivnosti istraživanja špiljskog sustava na izvorištu Omble</w:t>
            </w:r>
          </w:p>
        </w:tc>
        <w:bookmarkStart w:id="3" w:name="_GoBack"/>
        <w:bookmarkEnd w:id="3"/>
      </w:tr>
      <w:tr w:rsidR="00C07C34" w:rsidRPr="00373882" w:rsidTr="00373882">
        <w:trPr>
          <w:trHeight w:val="382"/>
          <w:jc w:val="center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C07C34" w:rsidRPr="00373882" w:rsidRDefault="00C07C34" w:rsidP="006175C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4" w:name="_Hlk89071670"/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lastRenderedPageBreak/>
              <w:t>Izvori financiranja</w:t>
            </w:r>
          </w:p>
        </w:tc>
        <w:tc>
          <w:tcPr>
            <w:tcW w:w="7479" w:type="dxa"/>
            <w:tcBorders>
              <w:bottom w:val="single" w:sz="4" w:space="0" w:color="auto"/>
            </w:tcBorders>
            <w:shd w:val="clear" w:color="auto" w:fill="auto"/>
          </w:tcPr>
          <w:p w:rsidR="00567947" w:rsidRPr="00373882" w:rsidRDefault="00942E6D" w:rsidP="00942E6D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– Opći prihodi i primici</w:t>
            </w:r>
          </w:p>
        </w:tc>
      </w:tr>
      <w:tr w:rsidR="0015417C" w:rsidRPr="00373882" w:rsidTr="00373882">
        <w:trPr>
          <w:jc w:val="center"/>
        </w:trPr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15417C" w:rsidRPr="00373882" w:rsidRDefault="0015417C" w:rsidP="0015417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  <w:r w:rsidRPr="00373882">
              <w:rPr>
                <w:rFonts w:ascii="Arial" w:hAnsi="Arial" w:cs="Arial"/>
                <w:b/>
                <w:bCs/>
                <w:sz w:val="22"/>
                <w:szCs w:val="22"/>
              </w:rPr>
              <w:t>Program 1502</w:t>
            </w:r>
          </w:p>
        </w:tc>
        <w:tc>
          <w:tcPr>
            <w:tcW w:w="7479" w:type="dxa"/>
            <w:tcBorders>
              <w:top w:val="single" w:sz="4" w:space="0" w:color="auto"/>
            </w:tcBorders>
            <w:shd w:val="clear" w:color="auto" w:fill="auto"/>
          </w:tcPr>
          <w:p w:rsidR="0015417C" w:rsidRPr="00373882" w:rsidRDefault="0015417C" w:rsidP="0015417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hr-HR"/>
              </w:rPr>
            </w:pPr>
            <w:r w:rsidRPr="00C62FB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EU projekti UO za zaštitu okoliša, imovinsko pravne i komunalne poslove                                                                            </w:t>
            </w:r>
            <w:r w:rsidRPr="00373882">
              <w:rPr>
                <w:rFonts w:ascii="Arial" w:hAnsi="Arial" w:cs="Arial"/>
                <w:b/>
                <w:bCs/>
                <w:sz w:val="22"/>
                <w:szCs w:val="22"/>
              </w:rPr>
              <w:t>-387.000,00 kn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5" w:name="_Hlk82599740"/>
            <w:bookmarkEnd w:id="4"/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Kapitalni projekt K150203</w:t>
            </w:r>
          </w:p>
        </w:tc>
        <w:tc>
          <w:tcPr>
            <w:tcW w:w="7479" w:type="dxa"/>
            <w:tcBorders>
              <w:top w:val="single" w:sz="4" w:space="0" w:color="auto"/>
            </w:tcBorders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EU projekt INTERREG HR-ITA: ADRIACLIM - prilagodba klimatskim promjenama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</w:t>
            </w:r>
            <w:r w:rsidR="0082300C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262.000,00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312456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Smanjenje rashoda sredstva je planirano zbog </w:t>
            </w:r>
            <w:r w:rsidR="00312456"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produljenja trajanja projektinh aktivnosti za 6 mjeseci, 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15% na Izvoru 1.1.1 i 85% na Izvoru Fondovi EU. 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1.1.1 -  Opći prihodi i primici (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-39.300,00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5.6.1 -  Fondovi EU (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-222.700,00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</w:tc>
      </w:tr>
      <w:bookmarkEnd w:id="5"/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Kapitalni projekt K150204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EU projekt INTERREG HR-ITA: CASCADE - sprječavanje rizika od onečišćenja mora </w:t>
            </w: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-                                                          </w:t>
            </w:r>
            <w:r w:rsidR="0082300C"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-125.000,00</w:t>
            </w:r>
            <w:r w:rsidRPr="00373882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kn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312456" w:rsidP="00236252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Smanjenje rashoda sredstva je planirano zbog produljenja trajanja projektn</w:t>
            </w:r>
            <w:r w:rsidR="0015417C" w:rsidRPr="00373882">
              <w:rPr>
                <w:rFonts w:ascii="Arial" w:hAnsi="Arial" w:cs="Arial"/>
                <w:sz w:val="22"/>
                <w:szCs w:val="22"/>
                <w:lang w:val="hr-HR"/>
              </w:rPr>
              <w:t>i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h aktivnosti za 6 mjeseci, 15% na Izvoru 1.1.1 i 85% na Izvoru Fondovi EU. </w:t>
            </w:r>
          </w:p>
        </w:tc>
      </w:tr>
      <w:tr w:rsidR="00236252" w:rsidRPr="00373882" w:rsidTr="00373882">
        <w:trPr>
          <w:jc w:val="center"/>
        </w:trPr>
        <w:tc>
          <w:tcPr>
            <w:tcW w:w="2869" w:type="dxa"/>
            <w:shd w:val="clear" w:color="auto" w:fill="auto"/>
          </w:tcPr>
          <w:p w:rsidR="00236252" w:rsidRPr="00373882" w:rsidRDefault="00236252" w:rsidP="002362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7479" w:type="dxa"/>
            <w:shd w:val="clear" w:color="auto" w:fill="auto"/>
          </w:tcPr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1.1.1 -  Opći prihodi i primici (-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18.750,00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  <w:p w:rsidR="00236252" w:rsidRPr="00373882" w:rsidRDefault="00236252" w:rsidP="00236252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>Izvor 5.6.1 -  Fondovi EU (-</w:t>
            </w:r>
            <w:r w:rsidR="0082300C" w:rsidRPr="00373882">
              <w:rPr>
                <w:rFonts w:ascii="Arial" w:hAnsi="Arial" w:cs="Arial"/>
                <w:sz w:val="22"/>
                <w:szCs w:val="22"/>
                <w:lang w:val="hr-HR"/>
              </w:rPr>
              <w:t>106.250,00</w:t>
            </w:r>
            <w:r w:rsidRPr="00373882">
              <w:rPr>
                <w:rFonts w:ascii="Arial" w:hAnsi="Arial" w:cs="Arial"/>
                <w:sz w:val="22"/>
                <w:szCs w:val="22"/>
                <w:lang w:val="hr-HR"/>
              </w:rPr>
              <w:t xml:space="preserve"> kn)</w:t>
            </w:r>
          </w:p>
        </w:tc>
      </w:tr>
    </w:tbl>
    <w:p w:rsidR="007D0D5D" w:rsidRPr="00373882" w:rsidRDefault="007D0D5D">
      <w:pPr>
        <w:rPr>
          <w:rFonts w:ascii="Arial" w:hAnsi="Arial" w:cs="Arial"/>
          <w:sz w:val="22"/>
          <w:szCs w:val="22"/>
        </w:rPr>
      </w:pPr>
    </w:p>
    <w:p w:rsidR="00BA73DF" w:rsidRPr="00373882" w:rsidRDefault="00BA73DF" w:rsidP="007D0D5D">
      <w:pPr>
        <w:rPr>
          <w:rFonts w:ascii="Arial" w:hAnsi="Arial" w:cs="Arial"/>
          <w:sz w:val="22"/>
          <w:szCs w:val="22"/>
        </w:rPr>
      </w:pPr>
    </w:p>
    <w:p w:rsidR="00431FED" w:rsidRPr="00373882" w:rsidRDefault="00431FED" w:rsidP="00431FED">
      <w:pPr>
        <w:pStyle w:val="Heading1"/>
        <w:jc w:val="both"/>
        <w:rPr>
          <w:rFonts w:ascii="Arial" w:hAnsi="Arial" w:cs="Arial"/>
          <w:b/>
          <w:bCs/>
          <w:sz w:val="22"/>
          <w:szCs w:val="22"/>
        </w:rPr>
      </w:pPr>
      <w:r w:rsidRPr="00373882">
        <w:rPr>
          <w:rFonts w:ascii="Arial" w:hAnsi="Arial" w:cs="Arial"/>
          <w:b/>
          <w:bCs/>
          <w:sz w:val="22"/>
          <w:szCs w:val="22"/>
        </w:rPr>
        <w:t>GLAVA: 10502 JAVNA USTANOVA ZA UPRAVLJANJE ZAŠTIĆENIM DIJELOVIMA PRIRODE DUBROVAČKO-NERETVANSKE ŽUPANIJE</w:t>
      </w:r>
    </w:p>
    <w:p w:rsidR="00431FED" w:rsidRPr="00373882" w:rsidRDefault="00431FED" w:rsidP="00431FED">
      <w:pPr>
        <w:shd w:val="clear" w:color="auto" w:fill="FFFFFF"/>
        <w:jc w:val="both"/>
        <w:rPr>
          <w:rFonts w:ascii="Arial" w:hAnsi="Arial" w:cs="Arial"/>
          <w:b/>
          <w:bCs/>
          <w:sz w:val="22"/>
        </w:rPr>
      </w:pPr>
    </w:p>
    <w:p w:rsidR="00431FED" w:rsidRPr="00373882" w:rsidRDefault="00431FED" w:rsidP="00431FED">
      <w:pPr>
        <w:shd w:val="clear" w:color="auto" w:fill="FFFFFF"/>
        <w:jc w:val="both"/>
        <w:rPr>
          <w:rFonts w:ascii="Arial" w:hAnsi="Arial" w:cs="Arial"/>
          <w:b/>
          <w:sz w:val="22"/>
        </w:rPr>
      </w:pPr>
      <w:r w:rsidRPr="00373882">
        <w:rPr>
          <w:rFonts w:ascii="Arial" w:hAnsi="Arial" w:cs="Arial"/>
          <w:b/>
          <w:sz w:val="22"/>
        </w:rPr>
        <w:t>Proračunski korisnik: 40800 JAVNA USTANOVA ZA UPRAVLJANJE ZAŠTIĆENIM DIJELOVIMA PRIRODE DUBROVAČKO-NERETVANSKE ŽUPANIJE</w:t>
      </w:r>
    </w:p>
    <w:p w:rsidR="00431FED" w:rsidRPr="00373882" w:rsidRDefault="00431FED" w:rsidP="00431FED">
      <w:pPr>
        <w:shd w:val="clear" w:color="auto" w:fill="FFFFFF"/>
        <w:jc w:val="both"/>
        <w:rPr>
          <w:rFonts w:ascii="Arial" w:hAnsi="Arial" w:cs="Arial"/>
          <w:b/>
          <w:sz w:val="22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8421"/>
      </w:tblGrid>
      <w:tr w:rsidR="00431FED" w:rsidRPr="00373882" w:rsidTr="00373882"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Program 1503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Redovna djelatnost Javna ustanova za upravljanje zaštićenim dijelovima prirode DNŽ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-1.082.720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bookmarkStart w:id="6" w:name="_Hlk102484988"/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Aktivnost 150301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Redovno poslovanje Javna ustanova za upravljanje zaštićenim dijelovima prirode DNŽ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-73.500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redovnog poslovanja odnosi se na umanjenje Rashoda za zaposlenike i Rashoda za opremu temeljem uvođenja novih aktivnosti i nacionalnih i EU projekata u okviru kojih će se djelomično sufinancirati navedeni rashodi.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Dio financijskih sredstava je analitički preraspodijeljen na postojeće i novoodobrene projekte.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Aktivnost A150302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Provođenje mjera zaštite od požara-zaštićena područja i područja ekološke mreže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-36.000 kn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za provođenje preventivnih mjera zaštite od požara u zaštićenim područjima i područjima ekološke mreže u okviru redovne djelatnosti Ustanove su umanjeni budući su redovne aktivnosti Ustanove u dijelu ispunjenja tehničkih mjera zaštite od požara sufinancirane iz nacionalnih i EU projekata, a koje provodi Ustanova. Sukladno tome, isti su preraspodijeljeni na planirane rashode postojećih i novoodobrenih nacionalnih i/ili EU projekata sufinanciranih sredstvima Fonda za zaštitu okoliša i energetsku učinkovitost i Europske Unije.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Aktivnost A150303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 xml:space="preserve">Zaštita i očuvanje zaštićenih područja i </w:t>
            </w:r>
            <w:proofErr w:type="gramStart"/>
            <w:r w:rsidRPr="00373882">
              <w:rPr>
                <w:rFonts w:ascii="Arial" w:hAnsi="Arial" w:cs="Arial"/>
                <w:b/>
                <w:sz w:val="22"/>
                <w:u w:val="single"/>
              </w:rPr>
              <w:t>područja  ekološke</w:t>
            </w:r>
            <w:proofErr w:type="gramEnd"/>
            <w:r w:rsidRPr="00373882">
              <w:rPr>
                <w:rFonts w:ascii="Arial" w:hAnsi="Arial" w:cs="Arial"/>
                <w:b/>
                <w:sz w:val="22"/>
                <w:u w:val="single"/>
              </w:rPr>
              <w:t xml:space="preserve"> mreže Natura 2000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                    +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196.900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lastRenderedPageBreak/>
              <w:t xml:space="preserve">Rashodi za usluge su uvećani za potrebe provedbe projekta Speleološkog i biospeleološkog istraživanje izvorišta rijeke Omble kojim će se detaljno istražiti podzemni sustav rijeke Omble u obuhvatu zaštićenog područja značajnog krajobraza – Rijeka Dubrovačka i području ekološke mreže Natura 2000 Paleoombla-Ombla (dio financijskih sredstava je prebačen od nadležnog Upravnog odjela za i zaštitu okoliša, imovinsko-pravne i komunalne poslove, na aktivnosti A150106; a preostali dio je uvećan na Izvoru financiranja 5.8.). 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eastAsia="hr-BA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lastRenderedPageBreak/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1.1.1); Grad Dubrovnik (Izvor 5.8.1)</w:t>
            </w:r>
          </w:p>
        </w:tc>
      </w:tr>
      <w:bookmarkEnd w:id="6"/>
      <w:tr w:rsidR="00431FED" w:rsidRPr="00373882" w:rsidTr="00373882">
        <w:trPr>
          <w:trHeight w:val="614"/>
        </w:trPr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T150304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uspostava centra zaštite i očuvanja slatkovodnih kornjača u Dubrovačko-neretvanskoj županiji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-397.800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30. prosinca 2021. godine te se isti unosi kao nova aktivnost u 1. Izmjene i dopune financijskog plana Javne ustanove u skladu sa hodogramom predviđenih projektnih aktivnosti i planiranom javnom nabavom za izradu projektno-tehničke dokumentacije budućeg interpretacijskog centra zaštite i očuvanja slatkovodnih kornjača u Dubrovačko-neretvanskoj županiji, u naselju Majkovi. 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S obzirom na dugotrajan i kompleksan proces javne nabave kao i dinamiku predviđenih aktivnosti, rashodi za 2022. godinu se umanjuju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T150305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EkoMalostonski zaljev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-261.900 kn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u travnju 2022. godine te se isti unosi kao nova aktivnost u 1. Izmjene i dopune financijskog plana Javne ustanove u skladu sa hodogramom projekta za aktivnosti predviđene u okviru FLAG južni Jadran natječaja za provedbu mjere 1.1. 'Jačanje zaštite prirodnih resursa kao preduvjeta održivog razvoja ribarstvenog područja'. 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je usklađeno sa stvarnom dinamikom predviđenih projektnih aktivnosti na Izvoru financiranja 5.8.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Predfinanciranje EU projekata-proračunski korisnici (Izvor 1.6.2); Ministarstvo poljoprivrede, Uprava ribarstva - FLAG (Izvor 5.8.1)</w:t>
            </w:r>
          </w:p>
        </w:tc>
      </w:tr>
      <w:tr w:rsidR="00431FED" w:rsidRPr="00373882" w:rsidTr="00373882">
        <w:trPr>
          <w:trHeight w:val="545"/>
        </w:trPr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bookmarkStart w:id="7" w:name="_Hlk102557952"/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T150306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uklanjanje invazivne strane vrste plavi rak (</w:t>
            </w:r>
            <w:r w:rsidRPr="00373882">
              <w:rPr>
                <w:rFonts w:ascii="Arial" w:hAnsi="Arial" w:cs="Arial"/>
                <w:b/>
                <w:i/>
                <w:iCs/>
                <w:sz w:val="22"/>
                <w:u w:val="single"/>
              </w:rPr>
              <w:t>Callinectes sapidus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)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-382.800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Projekt je unesen kao nova aktivnost u 1. Izmjene i dopune financijskog plana Javne ustanove u skladu sa hodogramom predviđenih projektnih aktivnosti.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je usklađeno sa stvarnom dinamikom predviđenih projektnih aktivnosti na Izvoru financiranja 5.8.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eastAsia="hr-BA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bookmarkEnd w:id="7"/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Tekući projekt T150307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Plastic free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-127.620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lastRenderedPageBreak/>
              <w:t>Projekt je odobren u travnju 2022. godine te se isti unosi kao nova aktivnost u 1. Izmjene i dopune financijskog plana Javne ustanove u skladu sa hodogramom aktivnosti predviđenih u okviru projekta poticanja 'Plastic free zone – Zaštićena područja Dubrovačko-neretvanske županije bez pritiska za zdravije i zelenije sutra'.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je usklađeno sa stvarnom dinamikom predviđenih projektnih aktivnosti na Izvoru financiranja 5.8.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  <w:lang w:eastAsia="hr-BA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lastRenderedPageBreak/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Program 1504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 xml:space="preserve">EU Projekti Javna ustanova za upravljanje zaštićenim dijelovima prirode DNŽ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-597.650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vAlign w:val="center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Kapitalni projekt  K150401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 xml:space="preserve">Razvoj okvira za upravljanje ekološkom mrežom Natura 2000                                                                                </w:t>
            </w:r>
            <w:r w:rsidRPr="00373882">
              <w:rPr>
                <w:rFonts w:ascii="Arial" w:eastAsiaTheme="minorHAnsi" w:hAnsi="Arial" w:cs="Arial"/>
                <w:b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31FED" w:rsidRPr="00373882" w:rsidRDefault="00431FED" w:rsidP="00B81F72">
            <w:pPr>
              <w:jc w:val="both"/>
              <w:rPr>
                <w:rFonts w:ascii="Arial" w:eastAsiaTheme="minorHAnsi" w:hAnsi="Arial" w:cs="Arial"/>
                <w:b/>
                <w:sz w:val="22"/>
                <w:u w:val="single"/>
              </w:rPr>
            </w:pPr>
            <w:r w:rsidRPr="00373882">
              <w:rPr>
                <w:rFonts w:ascii="Arial" w:eastAsiaTheme="minorHAnsi" w:hAnsi="Arial" w:cs="Arial"/>
                <w:b/>
                <w:sz w:val="22"/>
              </w:rPr>
              <w:t xml:space="preserve">                                                                                                                 </w:t>
            </w:r>
            <w:r w:rsidRPr="00373882">
              <w:rPr>
                <w:rFonts w:ascii="Arial" w:eastAsiaTheme="minorHAnsi" w:hAnsi="Arial" w:cs="Arial"/>
                <w:b/>
                <w:sz w:val="22"/>
                <w:u w:val="single"/>
              </w:rPr>
              <w:t>+3.950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  <w:hideMark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  <w:hideMark/>
          </w:tcPr>
          <w:p w:rsidR="00431FED" w:rsidRPr="00373882" w:rsidRDefault="00431FED" w:rsidP="00B81F72">
            <w:p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su uvećani preraspodjelom sredstava unutar predmetne aktivnosti, kao i preraspodjelom sa aktivnosti A150301, a sve u skladu s vremenskim hodogramom projektnih aktivnosti.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Opći prihodi i primici, Dubrovačko-neretvanska županija (Izvor 1.1.1)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K150406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  <w:u w:val="single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LIFE CONTRA Ailanthus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-12.500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Rashodi za provođenje projekta LIFE Contra Ailanthus su umanjeni na izvoru financiranja 5.8., te je izvršena preraspodjela sredstava unutar predmetne aktivnosti, a sve u skladu sa hodogramom projektnih aktivnosti </w:t>
            </w:r>
            <w:proofErr w:type="gramStart"/>
            <w:r w:rsidRPr="00373882">
              <w:rPr>
                <w:rFonts w:ascii="Arial" w:hAnsi="Arial" w:cs="Arial"/>
                <w:sz w:val="22"/>
              </w:rPr>
              <w:t>i  planiranim</w:t>
            </w:r>
            <w:proofErr w:type="gramEnd"/>
            <w:r w:rsidRPr="00373882">
              <w:rPr>
                <w:rFonts w:ascii="Arial" w:hAnsi="Arial" w:cs="Arial"/>
                <w:sz w:val="22"/>
              </w:rPr>
              <w:t xml:space="preserve"> sredstvima.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LIFE program 2014-2020 (60% odobrenih troškova projekta-Izvor 5.9.); Opći prihodi i primici, Dubrovačko-neretvanska županija (22,5% odobrenih troškova projekta-Izvor 1.1.); Predfinanciranje EU projekata-proračunski korisnici (Izvor 1.6.2); Fond za sufinanciranje provedbe EU projekata na regionalnoj i lokalnoj razini (17,5% odobrenih troškova projekta-Izvor 5.8.).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K150407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Očuvanje plemenite periske (</w:t>
            </w:r>
            <w:r w:rsidRPr="00373882">
              <w:rPr>
                <w:rFonts w:ascii="Arial" w:hAnsi="Arial" w:cs="Arial"/>
                <w:b/>
                <w:i/>
                <w:iCs/>
                <w:sz w:val="22"/>
                <w:u w:val="single"/>
              </w:rPr>
              <w:t>Pinna nobilis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) u Južnom dijelu Jadranskog mora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-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18.500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za provođenje projekta Očuvanje plemenite periske (</w:t>
            </w:r>
            <w:r w:rsidRPr="00373882">
              <w:rPr>
                <w:rFonts w:ascii="Arial" w:hAnsi="Arial" w:cs="Arial"/>
                <w:i/>
                <w:iCs/>
                <w:sz w:val="22"/>
              </w:rPr>
              <w:t>Pinna nobilis</w:t>
            </w:r>
            <w:r w:rsidRPr="00373882">
              <w:rPr>
                <w:rFonts w:ascii="Arial" w:hAnsi="Arial" w:cs="Arial"/>
                <w:sz w:val="22"/>
              </w:rPr>
              <w:t>) u Južnom dijelu Jadranskog mora se umanjuju u skladu sa hodogramom projektnih aktivnosti za 2022. godinu,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(20% odobrenih troškova projekta-Izvor 1.1.1); Predfinanciranje EU projekata-proračunski korisnici (Izvor 1.6.2); Fond za zaštitu okoliša i energetsku učinkovitost (80% odobrenih troškova projekta-Izvor 5.8.1).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bookmarkStart w:id="8" w:name="_Hlk102559203"/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K150408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Projekt Interpretacijski centar zaštićenih prirodnih vrijednosti doline Neretve u Novim Selima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-614.000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Rashodi za usluge koji se umanjuju predmetnim izmjenama i dopunama financijskog plana Javne ustanove se odnose na izradu projektno-tehničke dokumentacije budućeg Interpretacijsko-edukacijsko-istraživačkog centra zaštićenih prirodnih vrijednosti doline Neretve u Novim Selima.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lastRenderedPageBreak/>
              <w:t>S obzirom na dugotrajan i kompleksan proces javne nabave kao i dinamiku predviđenih aktivnosti, rashodi za 2022. godinu se umanjuju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lastRenderedPageBreak/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Fond za zaštitu okoliša i energetsku učinkovitost (Izvor 5.8.1) 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Tekući projekt T150409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SeCure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-115.200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u ožujku 2022. godine te se isti unosi kao nova aktivnost u 1. Izmjene i dopune financijskog plana Javne ustanove u skladu sa hodogramom predviđenih projektnih aktivnosti. 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Umanjenje rashoda za 2022. godinu je usklađeno sa stvarnom dinamikom predviđenih projektnih aktivnosti, te se izvršenje planiranih sredstava dijelom prenosi u sljedeću proračunsku godinu.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Opći prihodi i primici, Dubrovačko-neretvanska županija (Izvor 1.1.1); Predfinanciranje EU projekata-proračunski korisnici (Izvor 1.6.2); Prekogranični program Interreg V-A Hrvatska – Italija 2014-2020 (Izvor 5.9.1) </w:t>
            </w:r>
          </w:p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bookmarkEnd w:id="8"/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Kapitalni projekt K150410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  <w:u w:val="single"/>
              </w:rPr>
              <w:t>EU projekt LIFE for MAUREMYS</w:t>
            </w:r>
            <w:r w:rsidRPr="00373882">
              <w:rPr>
                <w:rFonts w:ascii="Arial" w:hAnsi="Arial" w:cs="Arial"/>
                <w:b/>
                <w:sz w:val="22"/>
              </w:rPr>
              <w:t xml:space="preserve">                                                       </w:t>
            </w:r>
            <w:r w:rsidRPr="00373882">
              <w:rPr>
                <w:rFonts w:ascii="Arial" w:hAnsi="Arial" w:cs="Arial"/>
                <w:b/>
                <w:sz w:val="22"/>
                <w:u w:val="single"/>
              </w:rPr>
              <w:t>+158.600 kn</w:t>
            </w: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Obrazloženje: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 xml:space="preserve">Projekt je odobren u rujnu 2022. godine te se isti unosi kao nova aktivnost u predmetne Izmjene i dopune financijskog plana Javne ustanove u skladu sa hodogramom predviđenih projektnih aktivnosti. 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Cilj projekta je poboljšati konzervacijski status riječne kornjače (Mauremys rivulata) u Republici Hrvatskoj uspostavom održivih populacija u obnovljenim staništima te osigurati dugoročno pravilno upravljanje istima.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Aktivnosti projekta uključuju obnovu staništa, odnosno poboljšanje kvalitete i povezanosti staništa te kontrolu sukcesijskih procesa. Tijekom projekta pripremiti će se protokoli i prostor za ex-situ uzgoj u Zoološkom vrtu grada Zagreba te će biti uspostavljen i proveden uzgojni program.</w:t>
            </w:r>
          </w:p>
          <w:p w:rsidR="00431FED" w:rsidRPr="00373882" w:rsidRDefault="00431FED" w:rsidP="00B81F72">
            <w:pPr>
              <w:shd w:val="clear" w:color="auto" w:fill="FFFFFF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431FED" w:rsidRPr="00373882" w:rsidTr="00373882">
        <w:tc>
          <w:tcPr>
            <w:tcW w:w="1927" w:type="dxa"/>
            <w:shd w:val="clear" w:color="auto" w:fill="auto"/>
          </w:tcPr>
          <w:p w:rsidR="00431FED" w:rsidRPr="00373882" w:rsidRDefault="00431FED" w:rsidP="00B81F72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373882">
              <w:rPr>
                <w:rFonts w:ascii="Arial" w:hAnsi="Arial" w:cs="Arial"/>
                <w:b/>
                <w:sz w:val="22"/>
              </w:rPr>
              <w:t>Izvori financiranja</w:t>
            </w:r>
          </w:p>
        </w:tc>
        <w:tc>
          <w:tcPr>
            <w:tcW w:w="8421" w:type="dxa"/>
            <w:shd w:val="clear" w:color="auto" w:fill="auto"/>
          </w:tcPr>
          <w:p w:rsidR="00431FED" w:rsidRPr="00373882" w:rsidRDefault="00431FED" w:rsidP="00B81F72">
            <w:pPr>
              <w:jc w:val="both"/>
              <w:rPr>
                <w:rFonts w:ascii="Arial" w:hAnsi="Arial" w:cs="Arial"/>
                <w:sz w:val="22"/>
              </w:rPr>
            </w:pPr>
            <w:r w:rsidRPr="00373882">
              <w:rPr>
                <w:rFonts w:ascii="Arial" w:hAnsi="Arial" w:cs="Arial"/>
                <w:sz w:val="22"/>
              </w:rPr>
              <w:t>LIFE program: 60% odobrenih troškova projekta (Izvor 5.9.1); Opći prihodi i primici, Dubrovačko-neretvanska županija: 22,5% odobrenih troškova projekta (Izvor 1.1.1); Fond za sufinanciranje provedbe EU projekata na regionalnoj i lokalnoj razini: 17,5% odobrenih troškova projekta (Izvor 5.8.1); Predfinanciranje EU projekata-proračunski korisnici (Izvor 1.6.2)</w:t>
            </w:r>
          </w:p>
        </w:tc>
      </w:tr>
    </w:tbl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431FED" w:rsidRPr="00373882" w:rsidRDefault="00431FED" w:rsidP="00431FED">
      <w:pPr>
        <w:rPr>
          <w:rFonts w:ascii="Arial" w:hAnsi="Arial" w:cs="Arial"/>
          <w:sz w:val="22"/>
        </w:rPr>
      </w:pPr>
    </w:p>
    <w:p w:rsidR="00C07C34" w:rsidRPr="00373882" w:rsidRDefault="00C07C34" w:rsidP="0084495B">
      <w:pPr>
        <w:rPr>
          <w:rFonts w:ascii="Arial" w:hAnsi="Arial" w:cs="Arial"/>
          <w:sz w:val="22"/>
          <w:szCs w:val="22"/>
          <w:lang w:val="hr-HR"/>
        </w:rPr>
      </w:pPr>
    </w:p>
    <w:sectPr w:rsidR="00C07C34" w:rsidRPr="00373882" w:rsidSect="0015417C">
      <w:pgSz w:w="12240" w:h="15840" w:code="1"/>
      <w:pgMar w:top="567" w:right="964" w:bottom="680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RO_Korinna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41"/>
    <w:multiLevelType w:val="hybridMultilevel"/>
    <w:tmpl w:val="0D666CB8"/>
    <w:lvl w:ilvl="0" w:tplc="CBF4C4F8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30" w:hanging="360"/>
      </w:pPr>
    </w:lvl>
    <w:lvl w:ilvl="2" w:tplc="041A001B">
      <w:start w:val="1"/>
      <w:numFmt w:val="lowerRoman"/>
      <w:lvlText w:val="%3."/>
      <w:lvlJc w:val="right"/>
      <w:pPr>
        <w:ind w:left="1450" w:hanging="180"/>
      </w:pPr>
    </w:lvl>
    <w:lvl w:ilvl="3" w:tplc="041A000F" w:tentative="1">
      <w:start w:val="1"/>
      <w:numFmt w:val="decimal"/>
      <w:lvlText w:val="%4."/>
      <w:lvlJc w:val="left"/>
      <w:pPr>
        <w:ind w:left="2170" w:hanging="360"/>
      </w:pPr>
    </w:lvl>
    <w:lvl w:ilvl="4" w:tplc="041A0019" w:tentative="1">
      <w:start w:val="1"/>
      <w:numFmt w:val="lowerLetter"/>
      <w:lvlText w:val="%5."/>
      <w:lvlJc w:val="left"/>
      <w:pPr>
        <w:ind w:left="2890" w:hanging="360"/>
      </w:pPr>
    </w:lvl>
    <w:lvl w:ilvl="5" w:tplc="041A001B" w:tentative="1">
      <w:start w:val="1"/>
      <w:numFmt w:val="lowerRoman"/>
      <w:lvlText w:val="%6."/>
      <w:lvlJc w:val="right"/>
      <w:pPr>
        <w:ind w:left="3610" w:hanging="180"/>
      </w:pPr>
    </w:lvl>
    <w:lvl w:ilvl="6" w:tplc="041A000F" w:tentative="1">
      <w:start w:val="1"/>
      <w:numFmt w:val="decimal"/>
      <w:lvlText w:val="%7."/>
      <w:lvlJc w:val="left"/>
      <w:pPr>
        <w:ind w:left="4330" w:hanging="360"/>
      </w:pPr>
    </w:lvl>
    <w:lvl w:ilvl="7" w:tplc="041A0019" w:tentative="1">
      <w:start w:val="1"/>
      <w:numFmt w:val="lowerLetter"/>
      <w:lvlText w:val="%8."/>
      <w:lvlJc w:val="left"/>
      <w:pPr>
        <w:ind w:left="5050" w:hanging="360"/>
      </w:pPr>
    </w:lvl>
    <w:lvl w:ilvl="8" w:tplc="041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 w15:restartNumberingAfterBreak="0">
    <w:nsid w:val="0EA62EDF"/>
    <w:multiLevelType w:val="hybridMultilevel"/>
    <w:tmpl w:val="DB562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4F11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017D5"/>
    <w:multiLevelType w:val="hybridMultilevel"/>
    <w:tmpl w:val="EF7052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C4AF6"/>
    <w:multiLevelType w:val="hybridMultilevel"/>
    <w:tmpl w:val="DAC8D0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219D9"/>
    <w:multiLevelType w:val="hybridMultilevel"/>
    <w:tmpl w:val="5AEA5C4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185486D"/>
    <w:multiLevelType w:val="hybridMultilevel"/>
    <w:tmpl w:val="7670099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914DE9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FA4B01"/>
    <w:multiLevelType w:val="hybridMultilevel"/>
    <w:tmpl w:val="80F80790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D152D"/>
    <w:multiLevelType w:val="hybridMultilevel"/>
    <w:tmpl w:val="2D766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4738B"/>
    <w:multiLevelType w:val="hybridMultilevel"/>
    <w:tmpl w:val="7924D268"/>
    <w:lvl w:ilvl="0" w:tplc="1E3A22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C4768"/>
    <w:multiLevelType w:val="hybridMultilevel"/>
    <w:tmpl w:val="5A060E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43163"/>
    <w:multiLevelType w:val="hybridMultilevel"/>
    <w:tmpl w:val="E34C8018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F3100"/>
    <w:multiLevelType w:val="hybridMultilevel"/>
    <w:tmpl w:val="D7E40106"/>
    <w:lvl w:ilvl="0" w:tplc="CBF4C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193590"/>
    <w:multiLevelType w:val="hybridMultilevel"/>
    <w:tmpl w:val="C35AEBE6"/>
    <w:lvl w:ilvl="0" w:tplc="2EC0DED8">
      <w:numFmt w:val="bullet"/>
      <w:lvlText w:val="-"/>
      <w:lvlJc w:val="left"/>
      <w:pPr>
        <w:ind w:left="5970" w:hanging="360"/>
      </w:pPr>
      <w:rPr>
        <w:rFonts w:ascii="Arial" w:eastAsia="Times New Roman" w:hAnsi="Arial" w:cs="Arial" w:hint="default"/>
        <w:color w:val="0070C0"/>
      </w:rPr>
    </w:lvl>
    <w:lvl w:ilvl="1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30" w:hanging="360"/>
      </w:pPr>
      <w:rPr>
        <w:rFonts w:ascii="Wingdings" w:hAnsi="Wingdings" w:hint="default"/>
      </w:rPr>
    </w:lvl>
  </w:abstractNum>
  <w:abstractNum w:abstractNumId="15" w15:restartNumberingAfterBreak="0">
    <w:nsid w:val="59B12004"/>
    <w:multiLevelType w:val="hybridMultilevel"/>
    <w:tmpl w:val="EB7475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7783A"/>
    <w:multiLevelType w:val="hybridMultilevel"/>
    <w:tmpl w:val="1DAA6F80"/>
    <w:lvl w:ilvl="0" w:tplc="DBB2F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35717"/>
    <w:multiLevelType w:val="hybridMultilevel"/>
    <w:tmpl w:val="9CD87C6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7931C5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0"/>
  </w:num>
  <w:num w:numId="5">
    <w:abstractNumId w:val="15"/>
  </w:num>
  <w:num w:numId="6">
    <w:abstractNumId w:val="5"/>
  </w:num>
  <w:num w:numId="7">
    <w:abstractNumId w:val="3"/>
  </w:num>
  <w:num w:numId="8">
    <w:abstractNumId w:val="16"/>
  </w:num>
  <w:num w:numId="9">
    <w:abstractNumId w:val="17"/>
  </w:num>
  <w:num w:numId="10">
    <w:abstractNumId w:val="1"/>
  </w:num>
  <w:num w:numId="11">
    <w:abstractNumId w:val="9"/>
  </w:num>
  <w:num w:numId="12">
    <w:abstractNumId w:val="11"/>
  </w:num>
  <w:num w:numId="13">
    <w:abstractNumId w:val="7"/>
  </w:num>
  <w:num w:numId="14">
    <w:abstractNumId w:val="18"/>
  </w:num>
  <w:num w:numId="15">
    <w:abstractNumId w:val="2"/>
  </w:num>
  <w:num w:numId="16">
    <w:abstractNumId w:val="8"/>
  </w:num>
  <w:num w:numId="17">
    <w:abstractNumId w:val="12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sTAxNzI0sjQ3NTWwMLdU0lEKTi0uzszPAykwqwUAZx/y3SwAAAA="/>
  </w:docVars>
  <w:rsids>
    <w:rsidRoot w:val="00657D23"/>
    <w:rsid w:val="00001E82"/>
    <w:rsid w:val="0000214A"/>
    <w:rsid w:val="00002B5B"/>
    <w:rsid w:val="00004017"/>
    <w:rsid w:val="00006D19"/>
    <w:rsid w:val="00017E3E"/>
    <w:rsid w:val="00033B60"/>
    <w:rsid w:val="00040CDE"/>
    <w:rsid w:val="00045C29"/>
    <w:rsid w:val="00047897"/>
    <w:rsid w:val="000514E2"/>
    <w:rsid w:val="000536CD"/>
    <w:rsid w:val="00055AF7"/>
    <w:rsid w:val="000564A0"/>
    <w:rsid w:val="000614C0"/>
    <w:rsid w:val="00063556"/>
    <w:rsid w:val="00073AA3"/>
    <w:rsid w:val="00074BDD"/>
    <w:rsid w:val="0007532D"/>
    <w:rsid w:val="000865B3"/>
    <w:rsid w:val="00091452"/>
    <w:rsid w:val="00094787"/>
    <w:rsid w:val="00096C85"/>
    <w:rsid w:val="000A0F94"/>
    <w:rsid w:val="000A1FB2"/>
    <w:rsid w:val="000A4742"/>
    <w:rsid w:val="000A7F5E"/>
    <w:rsid w:val="000B2370"/>
    <w:rsid w:val="000B5CAE"/>
    <w:rsid w:val="000D3C87"/>
    <w:rsid w:val="000E4899"/>
    <w:rsid w:val="000E5DD0"/>
    <w:rsid w:val="000E6645"/>
    <w:rsid w:val="000F083F"/>
    <w:rsid w:val="001002D3"/>
    <w:rsid w:val="00102935"/>
    <w:rsid w:val="00107A98"/>
    <w:rsid w:val="00110B9E"/>
    <w:rsid w:val="00114BE9"/>
    <w:rsid w:val="00114EFE"/>
    <w:rsid w:val="001177DE"/>
    <w:rsid w:val="00120266"/>
    <w:rsid w:val="00126B7C"/>
    <w:rsid w:val="00134F1B"/>
    <w:rsid w:val="001354B8"/>
    <w:rsid w:val="001360F3"/>
    <w:rsid w:val="00137034"/>
    <w:rsid w:val="0013728C"/>
    <w:rsid w:val="00145BF5"/>
    <w:rsid w:val="00146EE7"/>
    <w:rsid w:val="0015278A"/>
    <w:rsid w:val="0015417C"/>
    <w:rsid w:val="0015662B"/>
    <w:rsid w:val="001643B3"/>
    <w:rsid w:val="00165841"/>
    <w:rsid w:val="00165DCD"/>
    <w:rsid w:val="00171BD1"/>
    <w:rsid w:val="001760EC"/>
    <w:rsid w:val="00176BEB"/>
    <w:rsid w:val="00180235"/>
    <w:rsid w:val="00180C1F"/>
    <w:rsid w:val="00182433"/>
    <w:rsid w:val="001879A8"/>
    <w:rsid w:val="00190289"/>
    <w:rsid w:val="00190C61"/>
    <w:rsid w:val="00193341"/>
    <w:rsid w:val="00193BF9"/>
    <w:rsid w:val="001A1396"/>
    <w:rsid w:val="001A1F0E"/>
    <w:rsid w:val="001A2C93"/>
    <w:rsid w:val="001B00A6"/>
    <w:rsid w:val="001B16F0"/>
    <w:rsid w:val="001C10FA"/>
    <w:rsid w:val="001C6282"/>
    <w:rsid w:val="001D6135"/>
    <w:rsid w:val="001E0E88"/>
    <w:rsid w:val="001E5648"/>
    <w:rsid w:val="001F04F7"/>
    <w:rsid w:val="001F1E38"/>
    <w:rsid w:val="001F7833"/>
    <w:rsid w:val="001F7E5F"/>
    <w:rsid w:val="00204E7E"/>
    <w:rsid w:val="00212814"/>
    <w:rsid w:val="0021718A"/>
    <w:rsid w:val="0022036E"/>
    <w:rsid w:val="002209B2"/>
    <w:rsid w:val="00220C60"/>
    <w:rsid w:val="002217E3"/>
    <w:rsid w:val="00224CF5"/>
    <w:rsid w:val="00225FED"/>
    <w:rsid w:val="002319A3"/>
    <w:rsid w:val="00233C57"/>
    <w:rsid w:val="0023473E"/>
    <w:rsid w:val="00236252"/>
    <w:rsid w:val="00236275"/>
    <w:rsid w:val="00240252"/>
    <w:rsid w:val="002447AF"/>
    <w:rsid w:val="00252DF9"/>
    <w:rsid w:val="002530C0"/>
    <w:rsid w:val="00253604"/>
    <w:rsid w:val="00263C38"/>
    <w:rsid w:val="00263CF6"/>
    <w:rsid w:val="00285B34"/>
    <w:rsid w:val="00291EAC"/>
    <w:rsid w:val="00295181"/>
    <w:rsid w:val="0029585E"/>
    <w:rsid w:val="002A7F5D"/>
    <w:rsid w:val="002B0F53"/>
    <w:rsid w:val="002B0FDB"/>
    <w:rsid w:val="002B19A1"/>
    <w:rsid w:val="002B1A62"/>
    <w:rsid w:val="002B2EDF"/>
    <w:rsid w:val="002B716A"/>
    <w:rsid w:val="002C1FE3"/>
    <w:rsid w:val="002C6936"/>
    <w:rsid w:val="002D261A"/>
    <w:rsid w:val="002E06C1"/>
    <w:rsid w:val="002E1BC8"/>
    <w:rsid w:val="002E2DED"/>
    <w:rsid w:val="002E66A7"/>
    <w:rsid w:val="002E73BC"/>
    <w:rsid w:val="002F14DA"/>
    <w:rsid w:val="002F5814"/>
    <w:rsid w:val="002F5F51"/>
    <w:rsid w:val="003067F4"/>
    <w:rsid w:val="00312456"/>
    <w:rsid w:val="00313373"/>
    <w:rsid w:val="0031395E"/>
    <w:rsid w:val="00336A05"/>
    <w:rsid w:val="00337456"/>
    <w:rsid w:val="00343E9C"/>
    <w:rsid w:val="00345059"/>
    <w:rsid w:val="0035510F"/>
    <w:rsid w:val="00360C2E"/>
    <w:rsid w:val="003613A5"/>
    <w:rsid w:val="00367907"/>
    <w:rsid w:val="0037183E"/>
    <w:rsid w:val="00373882"/>
    <w:rsid w:val="0037789C"/>
    <w:rsid w:val="00380952"/>
    <w:rsid w:val="00384B68"/>
    <w:rsid w:val="00387F38"/>
    <w:rsid w:val="00390DD6"/>
    <w:rsid w:val="003929E3"/>
    <w:rsid w:val="003A69AA"/>
    <w:rsid w:val="003B611D"/>
    <w:rsid w:val="003C0489"/>
    <w:rsid w:val="003C4F8E"/>
    <w:rsid w:val="003D1B73"/>
    <w:rsid w:val="003D2AE8"/>
    <w:rsid w:val="003D5219"/>
    <w:rsid w:val="003E2C3C"/>
    <w:rsid w:val="003E5087"/>
    <w:rsid w:val="003F0914"/>
    <w:rsid w:val="003F262B"/>
    <w:rsid w:val="003F789C"/>
    <w:rsid w:val="0040010B"/>
    <w:rsid w:val="004004DF"/>
    <w:rsid w:val="0040197B"/>
    <w:rsid w:val="00403F00"/>
    <w:rsid w:val="00404FB3"/>
    <w:rsid w:val="00406631"/>
    <w:rsid w:val="00407D3A"/>
    <w:rsid w:val="00410A04"/>
    <w:rsid w:val="0041604D"/>
    <w:rsid w:val="00420151"/>
    <w:rsid w:val="00423981"/>
    <w:rsid w:val="00426F44"/>
    <w:rsid w:val="0043148C"/>
    <w:rsid w:val="00431AD8"/>
    <w:rsid w:val="00431FED"/>
    <w:rsid w:val="00436063"/>
    <w:rsid w:val="00440765"/>
    <w:rsid w:val="00445A78"/>
    <w:rsid w:val="0044715D"/>
    <w:rsid w:val="00452EFE"/>
    <w:rsid w:val="00454963"/>
    <w:rsid w:val="00462340"/>
    <w:rsid w:val="004626CC"/>
    <w:rsid w:val="00465A6D"/>
    <w:rsid w:val="00471045"/>
    <w:rsid w:val="0047308F"/>
    <w:rsid w:val="00480432"/>
    <w:rsid w:val="00480841"/>
    <w:rsid w:val="004829C1"/>
    <w:rsid w:val="0048773E"/>
    <w:rsid w:val="00492EA3"/>
    <w:rsid w:val="00495128"/>
    <w:rsid w:val="004A2B28"/>
    <w:rsid w:val="004A4C96"/>
    <w:rsid w:val="004B484F"/>
    <w:rsid w:val="004B4B29"/>
    <w:rsid w:val="004B7A9D"/>
    <w:rsid w:val="004E1A26"/>
    <w:rsid w:val="004E2EB2"/>
    <w:rsid w:val="004E4706"/>
    <w:rsid w:val="004E6356"/>
    <w:rsid w:val="004F5734"/>
    <w:rsid w:val="00500364"/>
    <w:rsid w:val="0050495A"/>
    <w:rsid w:val="00504D6A"/>
    <w:rsid w:val="00505865"/>
    <w:rsid w:val="0050618F"/>
    <w:rsid w:val="00521237"/>
    <w:rsid w:val="005220B2"/>
    <w:rsid w:val="005234D5"/>
    <w:rsid w:val="00536CCF"/>
    <w:rsid w:val="00540F84"/>
    <w:rsid w:val="00541EEF"/>
    <w:rsid w:val="0054421E"/>
    <w:rsid w:val="00545710"/>
    <w:rsid w:val="005477DB"/>
    <w:rsid w:val="005512B8"/>
    <w:rsid w:val="00554AD5"/>
    <w:rsid w:val="00554E93"/>
    <w:rsid w:val="00563673"/>
    <w:rsid w:val="005656AD"/>
    <w:rsid w:val="00566B2B"/>
    <w:rsid w:val="00567947"/>
    <w:rsid w:val="00575534"/>
    <w:rsid w:val="0059150C"/>
    <w:rsid w:val="00594599"/>
    <w:rsid w:val="005978B5"/>
    <w:rsid w:val="005A1E9D"/>
    <w:rsid w:val="005A41A4"/>
    <w:rsid w:val="005B3007"/>
    <w:rsid w:val="005B3B69"/>
    <w:rsid w:val="005B4845"/>
    <w:rsid w:val="005B7507"/>
    <w:rsid w:val="005C7F64"/>
    <w:rsid w:val="005D0D53"/>
    <w:rsid w:val="005D3395"/>
    <w:rsid w:val="005D689B"/>
    <w:rsid w:val="005D6D4B"/>
    <w:rsid w:val="005F2894"/>
    <w:rsid w:val="0060111D"/>
    <w:rsid w:val="006033E7"/>
    <w:rsid w:val="006056E0"/>
    <w:rsid w:val="006126EE"/>
    <w:rsid w:val="00612DD0"/>
    <w:rsid w:val="0062321D"/>
    <w:rsid w:val="0062698B"/>
    <w:rsid w:val="00631005"/>
    <w:rsid w:val="00632E5E"/>
    <w:rsid w:val="006457CF"/>
    <w:rsid w:val="00654656"/>
    <w:rsid w:val="00656662"/>
    <w:rsid w:val="006569E3"/>
    <w:rsid w:val="00657D23"/>
    <w:rsid w:val="00660A29"/>
    <w:rsid w:val="00667770"/>
    <w:rsid w:val="0067417F"/>
    <w:rsid w:val="00685D57"/>
    <w:rsid w:val="00686DFC"/>
    <w:rsid w:val="006875CC"/>
    <w:rsid w:val="006963BC"/>
    <w:rsid w:val="00696591"/>
    <w:rsid w:val="006A283C"/>
    <w:rsid w:val="006A39AA"/>
    <w:rsid w:val="006B044A"/>
    <w:rsid w:val="006B1D8B"/>
    <w:rsid w:val="006B319D"/>
    <w:rsid w:val="006B3D29"/>
    <w:rsid w:val="006B50CD"/>
    <w:rsid w:val="006C1C32"/>
    <w:rsid w:val="006C47CF"/>
    <w:rsid w:val="006C49A6"/>
    <w:rsid w:val="006C64ED"/>
    <w:rsid w:val="006D1807"/>
    <w:rsid w:val="006D32FA"/>
    <w:rsid w:val="006D69B3"/>
    <w:rsid w:val="006E6D04"/>
    <w:rsid w:val="00700A11"/>
    <w:rsid w:val="00703B3B"/>
    <w:rsid w:val="00705A90"/>
    <w:rsid w:val="00711227"/>
    <w:rsid w:val="00713D8A"/>
    <w:rsid w:val="00714C54"/>
    <w:rsid w:val="007156D7"/>
    <w:rsid w:val="00722431"/>
    <w:rsid w:val="007230E9"/>
    <w:rsid w:val="00725A46"/>
    <w:rsid w:val="00725F2D"/>
    <w:rsid w:val="0072779C"/>
    <w:rsid w:val="007279EB"/>
    <w:rsid w:val="007319AB"/>
    <w:rsid w:val="00733CD6"/>
    <w:rsid w:val="007359AD"/>
    <w:rsid w:val="00745369"/>
    <w:rsid w:val="007462FA"/>
    <w:rsid w:val="00747F24"/>
    <w:rsid w:val="0075462F"/>
    <w:rsid w:val="00754722"/>
    <w:rsid w:val="007568E9"/>
    <w:rsid w:val="00765872"/>
    <w:rsid w:val="00766040"/>
    <w:rsid w:val="00770198"/>
    <w:rsid w:val="00770A77"/>
    <w:rsid w:val="007731FF"/>
    <w:rsid w:val="007770B6"/>
    <w:rsid w:val="00786862"/>
    <w:rsid w:val="007903F7"/>
    <w:rsid w:val="0079423E"/>
    <w:rsid w:val="007946B7"/>
    <w:rsid w:val="00795CB5"/>
    <w:rsid w:val="007968DC"/>
    <w:rsid w:val="007975C7"/>
    <w:rsid w:val="007A708C"/>
    <w:rsid w:val="007B2BCF"/>
    <w:rsid w:val="007B2D0B"/>
    <w:rsid w:val="007B3272"/>
    <w:rsid w:val="007B4115"/>
    <w:rsid w:val="007B7AFC"/>
    <w:rsid w:val="007C02B2"/>
    <w:rsid w:val="007C3663"/>
    <w:rsid w:val="007C3C45"/>
    <w:rsid w:val="007D0D5D"/>
    <w:rsid w:val="007E3A6E"/>
    <w:rsid w:val="007F20E5"/>
    <w:rsid w:val="007F3F0D"/>
    <w:rsid w:val="007F455A"/>
    <w:rsid w:val="007F5208"/>
    <w:rsid w:val="007F5E87"/>
    <w:rsid w:val="00804371"/>
    <w:rsid w:val="00804971"/>
    <w:rsid w:val="00805D8C"/>
    <w:rsid w:val="00807AF8"/>
    <w:rsid w:val="00810321"/>
    <w:rsid w:val="00810DBB"/>
    <w:rsid w:val="00810DE2"/>
    <w:rsid w:val="00813374"/>
    <w:rsid w:val="00816C65"/>
    <w:rsid w:val="008215FE"/>
    <w:rsid w:val="0082300C"/>
    <w:rsid w:val="00823401"/>
    <w:rsid w:val="0082655F"/>
    <w:rsid w:val="008317C7"/>
    <w:rsid w:val="00837F10"/>
    <w:rsid w:val="00842173"/>
    <w:rsid w:val="00843109"/>
    <w:rsid w:val="00843B8B"/>
    <w:rsid w:val="0084495B"/>
    <w:rsid w:val="00846C81"/>
    <w:rsid w:val="00850404"/>
    <w:rsid w:val="00852908"/>
    <w:rsid w:val="00856C97"/>
    <w:rsid w:val="00861587"/>
    <w:rsid w:val="00861A01"/>
    <w:rsid w:val="0086312D"/>
    <w:rsid w:val="00871AA5"/>
    <w:rsid w:val="00873675"/>
    <w:rsid w:val="008778FA"/>
    <w:rsid w:val="00880C6C"/>
    <w:rsid w:val="00882467"/>
    <w:rsid w:val="00882D6A"/>
    <w:rsid w:val="008858F1"/>
    <w:rsid w:val="0089452B"/>
    <w:rsid w:val="00894834"/>
    <w:rsid w:val="00897AC9"/>
    <w:rsid w:val="008A3783"/>
    <w:rsid w:val="008A3F77"/>
    <w:rsid w:val="008B2602"/>
    <w:rsid w:val="008B44C3"/>
    <w:rsid w:val="008B7250"/>
    <w:rsid w:val="008C21A8"/>
    <w:rsid w:val="008C4BEF"/>
    <w:rsid w:val="008C618F"/>
    <w:rsid w:val="008D0350"/>
    <w:rsid w:val="008E1FCB"/>
    <w:rsid w:val="008E436C"/>
    <w:rsid w:val="008E7137"/>
    <w:rsid w:val="008E71E3"/>
    <w:rsid w:val="008E7A0B"/>
    <w:rsid w:val="008F27B6"/>
    <w:rsid w:val="009018FF"/>
    <w:rsid w:val="009028CC"/>
    <w:rsid w:val="00902D97"/>
    <w:rsid w:val="00903C41"/>
    <w:rsid w:val="00905D96"/>
    <w:rsid w:val="00905E60"/>
    <w:rsid w:val="00907FC9"/>
    <w:rsid w:val="00911331"/>
    <w:rsid w:val="00911912"/>
    <w:rsid w:val="00912255"/>
    <w:rsid w:val="00922382"/>
    <w:rsid w:val="00923EB0"/>
    <w:rsid w:val="0092432E"/>
    <w:rsid w:val="009267FA"/>
    <w:rsid w:val="00926DAA"/>
    <w:rsid w:val="00936F05"/>
    <w:rsid w:val="00942E6D"/>
    <w:rsid w:val="009510A1"/>
    <w:rsid w:val="0095258A"/>
    <w:rsid w:val="00960ED0"/>
    <w:rsid w:val="0097209B"/>
    <w:rsid w:val="00985FD7"/>
    <w:rsid w:val="00986F44"/>
    <w:rsid w:val="009921C0"/>
    <w:rsid w:val="00994A8B"/>
    <w:rsid w:val="009950F9"/>
    <w:rsid w:val="009A3F31"/>
    <w:rsid w:val="009A721A"/>
    <w:rsid w:val="009B260F"/>
    <w:rsid w:val="009B4F1F"/>
    <w:rsid w:val="009B5D52"/>
    <w:rsid w:val="009C0822"/>
    <w:rsid w:val="009C1727"/>
    <w:rsid w:val="009C3D54"/>
    <w:rsid w:val="009D0EB6"/>
    <w:rsid w:val="009D1D2E"/>
    <w:rsid w:val="009D253E"/>
    <w:rsid w:val="009D2F73"/>
    <w:rsid w:val="009D4EB0"/>
    <w:rsid w:val="009E09D6"/>
    <w:rsid w:val="009E0BB6"/>
    <w:rsid w:val="009E2466"/>
    <w:rsid w:val="009F20B8"/>
    <w:rsid w:val="009F267F"/>
    <w:rsid w:val="009F2781"/>
    <w:rsid w:val="009F497B"/>
    <w:rsid w:val="009F6929"/>
    <w:rsid w:val="009F771D"/>
    <w:rsid w:val="00A03175"/>
    <w:rsid w:val="00A049F5"/>
    <w:rsid w:val="00A06896"/>
    <w:rsid w:val="00A06E42"/>
    <w:rsid w:val="00A11232"/>
    <w:rsid w:val="00A1133D"/>
    <w:rsid w:val="00A13CDC"/>
    <w:rsid w:val="00A22745"/>
    <w:rsid w:val="00A22DD8"/>
    <w:rsid w:val="00A31AF4"/>
    <w:rsid w:val="00A32319"/>
    <w:rsid w:val="00A3398D"/>
    <w:rsid w:val="00A37C10"/>
    <w:rsid w:val="00A45253"/>
    <w:rsid w:val="00A471FD"/>
    <w:rsid w:val="00A5008F"/>
    <w:rsid w:val="00A52B5F"/>
    <w:rsid w:val="00A533DA"/>
    <w:rsid w:val="00A57FA8"/>
    <w:rsid w:val="00A63A6E"/>
    <w:rsid w:val="00A67BB1"/>
    <w:rsid w:val="00A7555C"/>
    <w:rsid w:val="00A76EE4"/>
    <w:rsid w:val="00A773C5"/>
    <w:rsid w:val="00A80233"/>
    <w:rsid w:val="00A8203F"/>
    <w:rsid w:val="00A8575F"/>
    <w:rsid w:val="00A900C0"/>
    <w:rsid w:val="00A90D7E"/>
    <w:rsid w:val="00A91AF3"/>
    <w:rsid w:val="00A91DE7"/>
    <w:rsid w:val="00AA0AEF"/>
    <w:rsid w:val="00AA3405"/>
    <w:rsid w:val="00AA47B4"/>
    <w:rsid w:val="00AA4D09"/>
    <w:rsid w:val="00AB1ECF"/>
    <w:rsid w:val="00AB398A"/>
    <w:rsid w:val="00AD2394"/>
    <w:rsid w:val="00AD6E2E"/>
    <w:rsid w:val="00AE4F05"/>
    <w:rsid w:val="00AE6D0B"/>
    <w:rsid w:val="00AF3DC0"/>
    <w:rsid w:val="00B000F0"/>
    <w:rsid w:val="00B112C7"/>
    <w:rsid w:val="00B1264F"/>
    <w:rsid w:val="00B1268C"/>
    <w:rsid w:val="00B20A42"/>
    <w:rsid w:val="00B25300"/>
    <w:rsid w:val="00B44F69"/>
    <w:rsid w:val="00B50251"/>
    <w:rsid w:val="00B5294A"/>
    <w:rsid w:val="00B535C9"/>
    <w:rsid w:val="00B53B47"/>
    <w:rsid w:val="00B65E9E"/>
    <w:rsid w:val="00B77112"/>
    <w:rsid w:val="00B83BE8"/>
    <w:rsid w:val="00B84422"/>
    <w:rsid w:val="00B86837"/>
    <w:rsid w:val="00BA0D9B"/>
    <w:rsid w:val="00BA4A21"/>
    <w:rsid w:val="00BA5F38"/>
    <w:rsid w:val="00BA73DF"/>
    <w:rsid w:val="00BA7690"/>
    <w:rsid w:val="00BC06CE"/>
    <w:rsid w:val="00BC31CD"/>
    <w:rsid w:val="00BD2796"/>
    <w:rsid w:val="00BD39ED"/>
    <w:rsid w:val="00BD4297"/>
    <w:rsid w:val="00BE361C"/>
    <w:rsid w:val="00BE6C5D"/>
    <w:rsid w:val="00BF05EF"/>
    <w:rsid w:val="00BF08F2"/>
    <w:rsid w:val="00BF3BE4"/>
    <w:rsid w:val="00BF4D76"/>
    <w:rsid w:val="00C0132C"/>
    <w:rsid w:val="00C021C6"/>
    <w:rsid w:val="00C0399E"/>
    <w:rsid w:val="00C07A2E"/>
    <w:rsid w:val="00C07C34"/>
    <w:rsid w:val="00C07F5D"/>
    <w:rsid w:val="00C1004E"/>
    <w:rsid w:val="00C17334"/>
    <w:rsid w:val="00C214FD"/>
    <w:rsid w:val="00C21CAB"/>
    <w:rsid w:val="00C25238"/>
    <w:rsid w:val="00C2775E"/>
    <w:rsid w:val="00C4604F"/>
    <w:rsid w:val="00C465A0"/>
    <w:rsid w:val="00C47D43"/>
    <w:rsid w:val="00C47E31"/>
    <w:rsid w:val="00C50100"/>
    <w:rsid w:val="00C518BA"/>
    <w:rsid w:val="00C5596C"/>
    <w:rsid w:val="00C563AC"/>
    <w:rsid w:val="00C57E3C"/>
    <w:rsid w:val="00C62FB2"/>
    <w:rsid w:val="00C63F9D"/>
    <w:rsid w:val="00C66353"/>
    <w:rsid w:val="00C676E6"/>
    <w:rsid w:val="00C67ED2"/>
    <w:rsid w:val="00C74028"/>
    <w:rsid w:val="00C804D6"/>
    <w:rsid w:val="00C82235"/>
    <w:rsid w:val="00C9147F"/>
    <w:rsid w:val="00C94A4F"/>
    <w:rsid w:val="00CA5969"/>
    <w:rsid w:val="00CB15FC"/>
    <w:rsid w:val="00CB3F3B"/>
    <w:rsid w:val="00CB4253"/>
    <w:rsid w:val="00CB5F7E"/>
    <w:rsid w:val="00CB6186"/>
    <w:rsid w:val="00CC25E6"/>
    <w:rsid w:val="00CD2BD1"/>
    <w:rsid w:val="00CD3E1A"/>
    <w:rsid w:val="00CD6E2B"/>
    <w:rsid w:val="00CE0228"/>
    <w:rsid w:val="00CE0951"/>
    <w:rsid w:val="00CF2DB7"/>
    <w:rsid w:val="00CF5ED4"/>
    <w:rsid w:val="00D046E6"/>
    <w:rsid w:val="00D120C9"/>
    <w:rsid w:val="00D13E5B"/>
    <w:rsid w:val="00D14ED1"/>
    <w:rsid w:val="00D222F1"/>
    <w:rsid w:val="00D23303"/>
    <w:rsid w:val="00D23740"/>
    <w:rsid w:val="00D31CBA"/>
    <w:rsid w:val="00D33DB6"/>
    <w:rsid w:val="00D37905"/>
    <w:rsid w:val="00D400F3"/>
    <w:rsid w:val="00D46C36"/>
    <w:rsid w:val="00D47341"/>
    <w:rsid w:val="00D50A1F"/>
    <w:rsid w:val="00D52C67"/>
    <w:rsid w:val="00D5530F"/>
    <w:rsid w:val="00D577A0"/>
    <w:rsid w:val="00D63C5C"/>
    <w:rsid w:val="00D74219"/>
    <w:rsid w:val="00D76382"/>
    <w:rsid w:val="00D9115A"/>
    <w:rsid w:val="00D957F1"/>
    <w:rsid w:val="00D97283"/>
    <w:rsid w:val="00DA4D2E"/>
    <w:rsid w:val="00DB10BD"/>
    <w:rsid w:val="00DB459E"/>
    <w:rsid w:val="00DB5D39"/>
    <w:rsid w:val="00DB6EDE"/>
    <w:rsid w:val="00DC03BF"/>
    <w:rsid w:val="00DC1A3C"/>
    <w:rsid w:val="00DC2C9F"/>
    <w:rsid w:val="00DC6621"/>
    <w:rsid w:val="00DD0D2F"/>
    <w:rsid w:val="00DD13C1"/>
    <w:rsid w:val="00DD25E3"/>
    <w:rsid w:val="00DD4B72"/>
    <w:rsid w:val="00DD64D1"/>
    <w:rsid w:val="00DE1ABD"/>
    <w:rsid w:val="00DE1CF3"/>
    <w:rsid w:val="00DE4EBE"/>
    <w:rsid w:val="00DF4005"/>
    <w:rsid w:val="00DF44C6"/>
    <w:rsid w:val="00DF47AF"/>
    <w:rsid w:val="00E00A7F"/>
    <w:rsid w:val="00E016D6"/>
    <w:rsid w:val="00E02152"/>
    <w:rsid w:val="00E06491"/>
    <w:rsid w:val="00E07DAD"/>
    <w:rsid w:val="00E11E24"/>
    <w:rsid w:val="00E2367C"/>
    <w:rsid w:val="00E24FDE"/>
    <w:rsid w:val="00E309D5"/>
    <w:rsid w:val="00E40640"/>
    <w:rsid w:val="00E4137A"/>
    <w:rsid w:val="00E42182"/>
    <w:rsid w:val="00E4239F"/>
    <w:rsid w:val="00E430FC"/>
    <w:rsid w:val="00E440F2"/>
    <w:rsid w:val="00E44A9B"/>
    <w:rsid w:val="00E5162A"/>
    <w:rsid w:val="00E604EE"/>
    <w:rsid w:val="00E6633E"/>
    <w:rsid w:val="00E67CA3"/>
    <w:rsid w:val="00E74D36"/>
    <w:rsid w:val="00E74F0F"/>
    <w:rsid w:val="00E77EE1"/>
    <w:rsid w:val="00E853FA"/>
    <w:rsid w:val="00E928A5"/>
    <w:rsid w:val="00E973E4"/>
    <w:rsid w:val="00EA1939"/>
    <w:rsid w:val="00EA2976"/>
    <w:rsid w:val="00EB361A"/>
    <w:rsid w:val="00EB47B6"/>
    <w:rsid w:val="00EB7BB8"/>
    <w:rsid w:val="00EC1D8A"/>
    <w:rsid w:val="00EC28E6"/>
    <w:rsid w:val="00EC6150"/>
    <w:rsid w:val="00ED2C65"/>
    <w:rsid w:val="00ED3010"/>
    <w:rsid w:val="00EE3364"/>
    <w:rsid w:val="00EE4DD3"/>
    <w:rsid w:val="00EE5EA7"/>
    <w:rsid w:val="00EE65C1"/>
    <w:rsid w:val="00EE6D28"/>
    <w:rsid w:val="00EF4B02"/>
    <w:rsid w:val="00EF7162"/>
    <w:rsid w:val="00F00A61"/>
    <w:rsid w:val="00F109A6"/>
    <w:rsid w:val="00F17CBC"/>
    <w:rsid w:val="00F27B07"/>
    <w:rsid w:val="00F3058A"/>
    <w:rsid w:val="00F3200A"/>
    <w:rsid w:val="00F355CC"/>
    <w:rsid w:val="00F36A41"/>
    <w:rsid w:val="00F43C47"/>
    <w:rsid w:val="00F45666"/>
    <w:rsid w:val="00F50F01"/>
    <w:rsid w:val="00F53082"/>
    <w:rsid w:val="00F77F16"/>
    <w:rsid w:val="00F84260"/>
    <w:rsid w:val="00F86463"/>
    <w:rsid w:val="00F92EA1"/>
    <w:rsid w:val="00F94B61"/>
    <w:rsid w:val="00F96904"/>
    <w:rsid w:val="00FA2077"/>
    <w:rsid w:val="00FA77D5"/>
    <w:rsid w:val="00FB433E"/>
    <w:rsid w:val="00FB6BFD"/>
    <w:rsid w:val="00FC116B"/>
    <w:rsid w:val="00FD013E"/>
    <w:rsid w:val="00FD24F9"/>
    <w:rsid w:val="00FD4B6B"/>
    <w:rsid w:val="00FD72EB"/>
    <w:rsid w:val="00FE3097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14A46"/>
  <w15:docId w15:val="{653B1894-6D41-4B50-AE85-2B212A31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807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F262B"/>
    <w:pPr>
      <w:keepNext/>
      <w:ind w:right="15"/>
      <w:outlineLvl w:val="0"/>
    </w:pPr>
    <w:rPr>
      <w:rFonts w:ascii="CRO_Korinna-Normal" w:hAnsi="CRO_Korinna-Norm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A5969"/>
    <w:pPr>
      <w:spacing w:before="100" w:beforeAutospacing="1" w:after="100" w:afterAutospacing="1"/>
    </w:pPr>
    <w:rPr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929E3"/>
    <w:pPr>
      <w:ind w:left="720"/>
      <w:contextualSpacing/>
    </w:pPr>
  </w:style>
  <w:style w:type="table" w:styleId="TableGrid">
    <w:name w:val="Table Grid"/>
    <w:basedOn w:val="TableNormal"/>
    <w:uiPriority w:val="59"/>
    <w:rsid w:val="00826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F4"/>
    <w:rPr>
      <w:rFonts w:ascii="Tahoma" w:hAnsi="Tahoma" w:cs="Tahoma"/>
      <w:sz w:val="16"/>
      <w:szCs w:val="16"/>
      <w:lang w:val="en-US"/>
    </w:rPr>
  </w:style>
  <w:style w:type="character" w:customStyle="1" w:styleId="NoSpacingChar">
    <w:name w:val="No Spacing Char"/>
    <w:link w:val="NoSpacing"/>
    <w:uiPriority w:val="1"/>
    <w:locked/>
    <w:rsid w:val="002F14DA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2F14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7413B-3428-416F-860E-943FA067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Dubr.-neretvanska županija</Company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DNZ</dc:creator>
  <cp:lastModifiedBy>Windows User</cp:lastModifiedBy>
  <cp:revision>9</cp:revision>
  <cp:lastPrinted>2022-11-22T08:33:00Z</cp:lastPrinted>
  <dcterms:created xsi:type="dcterms:W3CDTF">2022-12-02T09:16:00Z</dcterms:created>
  <dcterms:modified xsi:type="dcterms:W3CDTF">2022-12-05T09:22:00Z</dcterms:modified>
</cp:coreProperties>
</file>