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82" w:rsidRPr="003754D3" w:rsidRDefault="00F80C82" w:rsidP="003754D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4"/>
        </w:rPr>
      </w:pPr>
      <w:r w:rsidRPr="003754D3">
        <w:rPr>
          <w:rFonts w:cs="Calibri"/>
          <w:b/>
          <w:sz w:val="24"/>
          <w:szCs w:val="24"/>
        </w:rPr>
        <w:t>OBRAZLOŽENJE</w:t>
      </w:r>
    </w:p>
    <w:p w:rsidR="00F80C82" w:rsidRPr="003754D3" w:rsidRDefault="00F80C82" w:rsidP="003754D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cs="Calibri"/>
          <w:b/>
          <w:sz w:val="24"/>
          <w:szCs w:val="24"/>
        </w:rPr>
      </w:pPr>
    </w:p>
    <w:p w:rsidR="00F80C82" w:rsidRPr="003754D3" w:rsidRDefault="00F80C82" w:rsidP="003754D3">
      <w:pPr>
        <w:pStyle w:val="NoSpacing"/>
        <w:pBdr>
          <w:bottom w:val="single" w:sz="12" w:space="1" w:color="auto"/>
        </w:pBdr>
        <w:shd w:val="clear" w:color="auto" w:fill="FFFFFF"/>
        <w:jc w:val="center"/>
        <w:outlineLvl w:val="0"/>
        <w:rPr>
          <w:rFonts w:cs="Calibri"/>
          <w:b/>
          <w:sz w:val="24"/>
          <w:szCs w:val="24"/>
        </w:rPr>
      </w:pPr>
      <w:r w:rsidRPr="003754D3">
        <w:rPr>
          <w:rFonts w:cs="Calibri"/>
          <w:b/>
          <w:sz w:val="24"/>
          <w:szCs w:val="24"/>
        </w:rPr>
        <w:t xml:space="preserve">PRIJEDLOGA II. IZMJENA I DOPUNA PRORAČUNA DUBROVAČKO-NERETVANSKE ŽUPANIJE </w:t>
      </w:r>
      <w:r w:rsidR="00814A30">
        <w:rPr>
          <w:rFonts w:cs="Calibri"/>
          <w:b/>
          <w:sz w:val="24"/>
          <w:szCs w:val="24"/>
        </w:rPr>
        <w:t>ZA 2022. I PROJEKCIJA ZA 2023. I</w:t>
      </w:r>
      <w:r w:rsidRPr="003754D3">
        <w:rPr>
          <w:rFonts w:cs="Calibri"/>
          <w:b/>
          <w:sz w:val="24"/>
          <w:szCs w:val="24"/>
        </w:rPr>
        <w:t xml:space="preserve"> 2024. GODINU</w:t>
      </w:r>
    </w:p>
    <w:p w:rsidR="00F80C82" w:rsidRPr="003754D3" w:rsidRDefault="00F80C82" w:rsidP="00F80C82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cstheme="minorHAnsi"/>
          <w:b/>
          <w:bCs/>
          <w:sz w:val="24"/>
          <w:szCs w:val="24"/>
        </w:rPr>
      </w:pPr>
    </w:p>
    <w:p w:rsidR="00F359C7" w:rsidRPr="003754D3" w:rsidRDefault="00F359C7" w:rsidP="00BA7A32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cstheme="minorHAnsi"/>
          <w:b/>
          <w:bCs/>
          <w:sz w:val="24"/>
          <w:szCs w:val="24"/>
        </w:rPr>
      </w:pPr>
      <w:r w:rsidRPr="003754D3">
        <w:rPr>
          <w:rFonts w:cstheme="minorHAnsi"/>
          <w:b/>
          <w:bCs/>
          <w:sz w:val="24"/>
          <w:szCs w:val="24"/>
        </w:rPr>
        <w:t xml:space="preserve">NAZIV KORISNIKA: </w:t>
      </w:r>
      <w:r w:rsidR="00231DDE" w:rsidRPr="003754D3">
        <w:rPr>
          <w:rFonts w:cstheme="minorHAnsi"/>
          <w:b/>
          <w:bCs/>
          <w:sz w:val="24"/>
          <w:szCs w:val="24"/>
        </w:rPr>
        <w:t>ZAVOD</w:t>
      </w:r>
      <w:r w:rsidRPr="003754D3">
        <w:rPr>
          <w:rFonts w:cstheme="minorHAnsi"/>
          <w:b/>
          <w:bCs/>
          <w:sz w:val="24"/>
          <w:szCs w:val="24"/>
        </w:rPr>
        <w:t xml:space="preserve"> ZA </w:t>
      </w:r>
      <w:r w:rsidR="00C5721C" w:rsidRPr="003754D3">
        <w:rPr>
          <w:rFonts w:cstheme="minorHAnsi"/>
          <w:b/>
          <w:bCs/>
          <w:sz w:val="24"/>
          <w:szCs w:val="24"/>
        </w:rPr>
        <w:t xml:space="preserve">PROSTORNO UREĐENJE </w:t>
      </w:r>
      <w:r w:rsidR="00231DDE" w:rsidRPr="003754D3">
        <w:rPr>
          <w:rFonts w:cstheme="minorHAnsi"/>
          <w:b/>
          <w:bCs/>
          <w:sz w:val="24"/>
          <w:szCs w:val="24"/>
        </w:rPr>
        <w:t>DUBROVAČKO-NERETVANSKE ŽUPANIJE</w:t>
      </w: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075CDF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SAŽETAK DJELOKRUGA RADA:</w:t>
      </w:r>
    </w:p>
    <w:p w:rsidR="00FC1256" w:rsidRPr="00231DDE" w:rsidRDefault="00FC1256" w:rsidP="00075CDF">
      <w:pPr>
        <w:pStyle w:val="clanak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231DDE">
        <w:rPr>
          <w:rFonts w:asciiTheme="minorHAnsi" w:hAnsiTheme="minorHAnsi" w:cstheme="minorHAnsi"/>
          <w:sz w:val="22"/>
          <w:szCs w:val="22"/>
          <w:lang w:val="hr-HR"/>
        </w:rPr>
        <w:t xml:space="preserve">Djelatnost Zavoda za prostorno uređenje županije, </w:t>
      </w:r>
      <w:proofErr w:type="spellStart"/>
      <w:r w:rsidR="00AC1DA1" w:rsidRPr="00231DDE">
        <w:rPr>
          <w:rFonts w:asciiTheme="minorHAnsi" w:hAnsiTheme="minorHAnsi" w:cstheme="minorHAnsi"/>
          <w:sz w:val="22"/>
          <w:szCs w:val="22"/>
        </w:rPr>
        <w:t>sukladno</w:t>
      </w:r>
      <w:proofErr w:type="spellEnd"/>
      <w:r w:rsidR="00AC1DA1" w:rsidRPr="00231D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C1DA1" w:rsidRPr="00231DDE">
        <w:rPr>
          <w:rFonts w:asciiTheme="minorHAnsi" w:hAnsiTheme="minorHAnsi" w:cstheme="minorHAnsi"/>
          <w:sz w:val="22"/>
          <w:szCs w:val="22"/>
        </w:rPr>
        <w:t>članku</w:t>
      </w:r>
      <w:proofErr w:type="spellEnd"/>
      <w:r w:rsidR="00AC1DA1" w:rsidRPr="00231DDE">
        <w:rPr>
          <w:rFonts w:asciiTheme="minorHAnsi" w:hAnsiTheme="minorHAnsi" w:cstheme="minorHAnsi"/>
          <w:sz w:val="22"/>
          <w:szCs w:val="22"/>
        </w:rPr>
        <w:t xml:space="preserve"> 27. </w:t>
      </w:r>
      <w:proofErr w:type="spellStart"/>
      <w:r w:rsidR="00AC1DA1" w:rsidRPr="00231DDE">
        <w:rPr>
          <w:rFonts w:asciiTheme="minorHAnsi" w:hAnsiTheme="minorHAnsi" w:cstheme="minorHAnsi"/>
          <w:sz w:val="22"/>
          <w:szCs w:val="22"/>
        </w:rPr>
        <w:t>Zakona</w:t>
      </w:r>
      <w:proofErr w:type="spellEnd"/>
      <w:r w:rsidR="00AC1DA1" w:rsidRPr="00231DDE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="00AC1DA1" w:rsidRPr="00231DDE">
        <w:rPr>
          <w:rFonts w:asciiTheme="minorHAnsi" w:hAnsiTheme="minorHAnsi" w:cstheme="minorHAnsi"/>
          <w:sz w:val="22"/>
          <w:szCs w:val="22"/>
        </w:rPr>
        <w:t>prostornom</w:t>
      </w:r>
      <w:proofErr w:type="spellEnd"/>
      <w:r w:rsidR="00AC1DA1" w:rsidRPr="00231D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C1DA1" w:rsidRPr="00231DDE">
        <w:rPr>
          <w:rFonts w:asciiTheme="minorHAnsi" w:hAnsiTheme="minorHAnsi" w:cstheme="minorHAnsi"/>
          <w:sz w:val="22"/>
          <w:szCs w:val="22"/>
        </w:rPr>
        <w:t>uređenju</w:t>
      </w:r>
      <w:proofErr w:type="spellEnd"/>
      <w:r w:rsidR="00AC1DA1" w:rsidRPr="00231DDE">
        <w:rPr>
          <w:rFonts w:asciiTheme="minorHAnsi" w:hAnsiTheme="minorHAnsi" w:cstheme="minorHAnsi"/>
          <w:sz w:val="22"/>
          <w:szCs w:val="22"/>
        </w:rPr>
        <w:t xml:space="preserve"> (NN 153/13., 65/17., 114/18., 39/19. </w:t>
      </w:r>
      <w:proofErr w:type="spellStart"/>
      <w:r w:rsidR="00AC1DA1" w:rsidRPr="00231DDE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AC1DA1" w:rsidRPr="00231DDE">
        <w:rPr>
          <w:rFonts w:asciiTheme="minorHAnsi" w:hAnsiTheme="minorHAnsi" w:cstheme="minorHAnsi"/>
          <w:sz w:val="22"/>
          <w:szCs w:val="22"/>
        </w:rPr>
        <w:t xml:space="preserve"> 98/19.) </w:t>
      </w:r>
      <w:r w:rsidRPr="00231DDE">
        <w:rPr>
          <w:rFonts w:asciiTheme="minorHAnsi" w:hAnsiTheme="minorHAnsi" w:cstheme="minorHAnsi"/>
          <w:sz w:val="22"/>
          <w:szCs w:val="22"/>
          <w:lang w:val="hr-HR"/>
        </w:rPr>
        <w:t>obuhvaća osobito: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izradu, odnosno koordinaciju izrade i praćenje provedbe prostornih planova područne (regionalne) razine, 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izradu izvješća o stanju u prostoru,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vođenje informacijskog sustava prostornog uređenja i upravljanje njime u okviru njegovih ovlasti,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pripremu polazišta za izradu, odnosno stavljanje izvan snage prostornih planova užih područja,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pružanje stručne savjetodavne pomoći u izradi prostornih planova lokalne razine,</w:t>
      </w:r>
    </w:p>
    <w:p w:rsidR="00FC1256" w:rsidRPr="00231DDE" w:rsidRDefault="00FC1256" w:rsidP="00075CDF">
      <w:pPr>
        <w:pStyle w:val="t-9-8"/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druge poslove u skladu s ovim Zakonom i Statutom Zavoda.</w:t>
      </w:r>
    </w:p>
    <w:p w:rsidR="00FC1256" w:rsidRPr="00231DDE" w:rsidRDefault="00FC1256" w:rsidP="00075CDF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FC1256" w:rsidRPr="00231DDE" w:rsidRDefault="00FC1256" w:rsidP="00075CDF">
      <w:pPr>
        <w:pStyle w:val="t-9-8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Zavod za prostorno uređenje županije može izrađivati i</w:t>
      </w:r>
      <w:r w:rsidR="00AC1DA1" w:rsidRPr="00231DDE">
        <w:rPr>
          <w:rFonts w:asciiTheme="minorHAnsi" w:hAnsiTheme="minorHAnsi" w:cstheme="minorHAnsi"/>
          <w:sz w:val="22"/>
          <w:szCs w:val="22"/>
        </w:rPr>
        <w:t>: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područja posebnih obilježja, 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prostorni plan uređenja grada i općine, 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generalni urbanistički plan, </w:t>
      </w:r>
    </w:p>
    <w:p w:rsidR="00FC1256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 xml:space="preserve">urbanistički plan uređenja od značaja za Državu, odnosno županiju te </w:t>
      </w:r>
    </w:p>
    <w:p w:rsidR="00F359C7" w:rsidRPr="00231DDE" w:rsidRDefault="00FC1256" w:rsidP="00075CDF">
      <w:pPr>
        <w:pStyle w:val="t-9-8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obavljati stručne analitičke poslove iz područja prostornog uređenja, ako to zatraži Ministarstvo ili župan.</w:t>
      </w:r>
    </w:p>
    <w:p w:rsidR="00F359C7" w:rsidRPr="00231DDE" w:rsidRDefault="00F359C7" w:rsidP="00075CD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075CDF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ORGANIZACIJSKA STRUKTURA:</w:t>
      </w:r>
    </w:p>
    <w:p w:rsidR="00C5721C" w:rsidRPr="00231DDE" w:rsidRDefault="00AC1DA1" w:rsidP="00075CDF">
      <w:pPr>
        <w:tabs>
          <w:tab w:val="left" w:pos="40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ZZPUDNŽ</w:t>
      </w:r>
      <w:r w:rsidR="00C5721C" w:rsidRPr="00231DDE">
        <w:rPr>
          <w:rFonts w:asciiTheme="minorHAnsi" w:hAnsiTheme="minorHAnsi" w:cstheme="minorHAnsi"/>
          <w:sz w:val="22"/>
          <w:szCs w:val="22"/>
        </w:rPr>
        <w:t>l obavlja poslove u Dubrovniku za područje</w:t>
      </w:r>
      <w:r w:rsidRPr="00231DDE">
        <w:rPr>
          <w:rFonts w:asciiTheme="minorHAnsi" w:hAnsiTheme="minorHAnsi" w:cstheme="minorHAnsi"/>
          <w:sz w:val="22"/>
          <w:szCs w:val="22"/>
        </w:rPr>
        <w:t xml:space="preserve"> cijele DNŽ</w:t>
      </w:r>
      <w:r w:rsidR="00231DDE">
        <w:rPr>
          <w:rFonts w:asciiTheme="minorHAnsi" w:hAnsiTheme="minorHAnsi" w:cstheme="minorHAnsi"/>
          <w:sz w:val="22"/>
          <w:szCs w:val="22"/>
        </w:rPr>
        <w:t>.</w:t>
      </w:r>
    </w:p>
    <w:p w:rsidR="00C5721C" w:rsidRPr="00231DDE" w:rsidRDefault="00AC1DA1" w:rsidP="00075CDF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U Zavodu su uspostavljena dva Odsjeka i to:</w:t>
      </w:r>
    </w:p>
    <w:p w:rsidR="00AC1DA1" w:rsidRPr="00231DDE" w:rsidRDefault="00AC1DA1" w:rsidP="00075CDF">
      <w:pPr>
        <w:pStyle w:val="ListParagraph"/>
        <w:numPr>
          <w:ilvl w:val="0"/>
          <w:numId w:val="10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prostorno planiranje</w:t>
      </w:r>
    </w:p>
    <w:p w:rsidR="00231DDE" w:rsidRDefault="00AC1DA1" w:rsidP="00075CDF">
      <w:pPr>
        <w:pStyle w:val="ListParagraph"/>
        <w:numPr>
          <w:ilvl w:val="0"/>
          <w:numId w:val="10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Odsjek za stratešku infrastrukturu i zaštitu okoliša s</w:t>
      </w:r>
    </w:p>
    <w:p w:rsidR="00AC1DA1" w:rsidRPr="00231DDE" w:rsidRDefault="00AC1DA1" w:rsidP="00075CDF">
      <w:pPr>
        <w:pStyle w:val="ListParagraph"/>
        <w:numPr>
          <w:ilvl w:val="1"/>
          <w:numId w:val="10"/>
        </w:num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31DDE">
        <w:rPr>
          <w:rFonts w:asciiTheme="minorHAnsi" w:hAnsiTheme="minorHAnsi" w:cstheme="minorHAnsi"/>
          <w:sz w:val="22"/>
          <w:szCs w:val="22"/>
        </w:rPr>
        <w:t>Pododsjekom za Integralno upravljanje obalnim područje</w:t>
      </w:r>
      <w:r w:rsidR="00231DDE">
        <w:rPr>
          <w:rFonts w:asciiTheme="minorHAnsi" w:hAnsiTheme="minorHAnsi" w:cstheme="minorHAnsi"/>
          <w:sz w:val="22"/>
          <w:szCs w:val="22"/>
        </w:rPr>
        <w:t>m.</w:t>
      </w:r>
    </w:p>
    <w:p w:rsidR="005103E9" w:rsidRPr="00231DDE" w:rsidRDefault="005103E9" w:rsidP="00BA7A32">
      <w:pPr>
        <w:pStyle w:val="NoSpacing"/>
        <w:shd w:val="clear" w:color="auto" w:fill="FFFFFF"/>
        <w:outlineLvl w:val="0"/>
        <w:rPr>
          <w:rFonts w:asciiTheme="minorHAnsi" w:hAnsiTheme="minorHAnsi" w:cstheme="minorHAnsi"/>
          <w:b/>
          <w:bCs/>
          <w:strike/>
        </w:rPr>
      </w:pPr>
    </w:p>
    <w:p w:rsidR="00F359C7" w:rsidRPr="00231DDE" w:rsidRDefault="00974B0E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  <w:r>
        <w:rPr>
          <w:rFonts w:ascii="Calibri-Bold" w:eastAsia="Calibri" w:hAnsi="Calibri-Bold" w:cs="Calibri-Bold"/>
          <w:b/>
          <w:bCs/>
          <w:lang w:eastAsia="hr-HR"/>
        </w:rPr>
        <w:t>REBALANS II. ZA 2022. GODINU: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4145"/>
        <w:gridCol w:w="2160"/>
        <w:gridCol w:w="1985"/>
      </w:tblGrid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programa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PLAN 2022.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II. REBALANS 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Redovna djelatnost ZZPUDNŽ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D4F2F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2.377.000,00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2.447.0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00,00</w:t>
            </w:r>
          </w:p>
        </w:tc>
      </w:tr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Program prostornog planiranja i održivog razvoja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</w:t>
            </w:r>
            <w:r>
              <w:rPr>
                <w:rFonts w:asciiTheme="minorHAnsi" w:hAnsiTheme="minorHAnsi" w:cstheme="minorHAnsi"/>
                <w:b/>
                <w:bCs/>
              </w:rPr>
              <w:t>00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>000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100.000,00</w:t>
            </w:r>
          </w:p>
        </w:tc>
      </w:tr>
      <w:tr w:rsidR="00472203" w:rsidRPr="00231DDE" w:rsidTr="0047220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62E92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D4F2F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2.477.000,00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2.547.0</w:t>
            </w:r>
            <w:r w:rsidRPr="00231DDE">
              <w:rPr>
                <w:rFonts w:asciiTheme="minorHAnsi" w:hAnsiTheme="minorHAnsi" w:cstheme="minorHAnsi"/>
                <w:b/>
                <w:bCs/>
              </w:rPr>
              <w:t>00,00</w:t>
            </w:r>
          </w:p>
        </w:tc>
      </w:tr>
    </w:tbl>
    <w:p w:rsidR="00482093" w:rsidRPr="00231DDE" w:rsidRDefault="00482093" w:rsidP="00094E19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482093" w:rsidRPr="00231DDE" w:rsidRDefault="00482093" w:rsidP="00094E19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DD667F" w:rsidRPr="00231DDE" w:rsidRDefault="00DD667F" w:rsidP="00094E19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2261DA" w:rsidRDefault="002261DA">
      <w:pPr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F359C7" w:rsidRPr="00231DDE" w:rsidRDefault="005F1074" w:rsidP="00AB79CE">
      <w:pPr>
        <w:pStyle w:val="NoSpacing"/>
        <w:pBdr>
          <w:bottom w:val="single" w:sz="12" w:space="5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 xml:space="preserve">NAZIV PROGRAMA: </w:t>
      </w:r>
      <w:r w:rsidR="00482093" w:rsidRPr="00231DDE">
        <w:rPr>
          <w:rFonts w:asciiTheme="minorHAnsi" w:hAnsiTheme="minorHAnsi" w:cstheme="minorHAnsi"/>
          <w:b/>
          <w:bCs/>
        </w:rPr>
        <w:t>REDOVNA DJELATNOST ZZPUDNŽ</w:t>
      </w:r>
    </w:p>
    <w:p w:rsidR="00F359C7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2C73E2" w:rsidRPr="00231DDE" w:rsidRDefault="002C73E2" w:rsidP="00962E92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F359C7" w:rsidRPr="00231DDE" w:rsidRDefault="00F359C7" w:rsidP="00BA7A32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OPĆI CILJ:</w:t>
      </w:r>
      <w:r w:rsidR="005B388C" w:rsidRPr="00231DDE">
        <w:rPr>
          <w:rFonts w:asciiTheme="minorHAnsi" w:hAnsiTheme="minorHAnsi" w:cstheme="minorHAnsi"/>
          <w:b/>
          <w:bCs/>
        </w:rPr>
        <w:t xml:space="preserve"> </w:t>
      </w:r>
    </w:p>
    <w:p w:rsidR="00F359C7" w:rsidRPr="00231DDE" w:rsidRDefault="00482093" w:rsidP="00075CD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lang w:eastAsia="hr-HR"/>
        </w:rPr>
        <w:t>Obavljanje djelatnosti prostornog uređenja područja Dubrovačko-neretvanske županije u skladu sa Zakonom, a uključuje izradu PPŽ i praćenje izrade PPUO/G i UPU-a svih gradova i općina Županije, te vođenje informacijskog sustava prostornog uređenja (ISPU), davanje stručnog mišljenja na PPUO/G, GUP-ove i UPU-ove, te mišljenja na PPUO/G-ove, izrada Izvješća o stanju u prostoru te drugi poslovi u skladu s odlukama Ministarstva, Župana i Županijske skupštine.</w:t>
      </w:r>
    </w:p>
    <w:p w:rsidR="00482093" w:rsidRPr="00231DDE" w:rsidRDefault="00482093" w:rsidP="00BD5B5D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F359C7" w:rsidRPr="00231DDE" w:rsidRDefault="009A06D6" w:rsidP="005F1074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2261DA" w:rsidRDefault="00E173FD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 xml:space="preserve">Program građenja </w:t>
      </w:r>
      <w:r w:rsidR="009A06D6" w:rsidRPr="00231DDE">
        <w:rPr>
          <w:rFonts w:asciiTheme="minorHAnsi" w:hAnsiTheme="minorHAnsi" w:cstheme="minorHAnsi"/>
          <w:bCs/>
        </w:rPr>
        <w:t>zajedn</w:t>
      </w:r>
      <w:r w:rsidRPr="00231DDE">
        <w:rPr>
          <w:rFonts w:asciiTheme="minorHAnsi" w:hAnsiTheme="minorHAnsi" w:cstheme="minorHAnsi"/>
          <w:bCs/>
        </w:rPr>
        <w:t>o s pripadajućim aktivnostima</w:t>
      </w:r>
      <w:r w:rsidR="009A06D6" w:rsidRPr="00231DDE">
        <w:rPr>
          <w:rFonts w:asciiTheme="minorHAnsi" w:hAnsiTheme="minorHAnsi" w:cstheme="minorHAnsi"/>
          <w:bCs/>
        </w:rPr>
        <w:t xml:space="preserve"> u „Provedbenom programu Dubrovačko-neretvanske županije za razdoblje do 2025. godine“, iz prosinca 2021., spadaju pod </w:t>
      </w:r>
    </w:p>
    <w:p w:rsidR="002261DA" w:rsidRPr="002261DA" w:rsidRDefault="009A06D6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cilj - 4.1.</w:t>
      </w:r>
      <w:r w:rsidRPr="002261DA">
        <w:rPr>
          <w:rFonts w:asciiTheme="minorHAnsi" w:hAnsiTheme="minorHAnsi" w:cstheme="minorHAnsi"/>
          <w:bCs/>
        </w:rPr>
        <w:t xml:space="preserve"> Razvoj sustava</w:t>
      </w:r>
      <w:r w:rsidR="002261DA" w:rsidRPr="002261DA">
        <w:rPr>
          <w:rFonts w:asciiTheme="minorHAnsi" w:hAnsiTheme="minorHAnsi" w:cstheme="minorHAnsi"/>
          <w:bCs/>
        </w:rPr>
        <w:t xml:space="preserve"> </w:t>
      </w:r>
      <w:r w:rsidRPr="002261DA">
        <w:rPr>
          <w:rFonts w:asciiTheme="minorHAnsi" w:hAnsiTheme="minorHAnsi" w:cstheme="minorHAnsi"/>
          <w:bCs/>
        </w:rPr>
        <w:t xml:space="preserve">prostornog planiranja i upravljanja imovinom te jačanje kvalitete institucija u javnom sektoru, te </w:t>
      </w:r>
    </w:p>
    <w:p w:rsidR="009A06D6" w:rsidRPr="002261DA" w:rsidRDefault="009A06D6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261DA">
        <w:rPr>
          <w:rFonts w:asciiTheme="minorHAnsi" w:hAnsiTheme="minorHAnsi" w:cstheme="minorHAnsi"/>
          <w:b/>
        </w:rPr>
        <w:t>mjeru  - 4.1.2</w:t>
      </w:r>
      <w:r w:rsidRPr="002261DA">
        <w:rPr>
          <w:rFonts w:asciiTheme="minorHAnsi" w:hAnsiTheme="minorHAnsi" w:cstheme="minorHAnsi"/>
          <w:bCs/>
        </w:rPr>
        <w:t>. – Razvoj sustava prostornog planiranja i upravljanja imovinom.</w:t>
      </w:r>
    </w:p>
    <w:p w:rsidR="00E173FD" w:rsidRPr="00231DDE" w:rsidRDefault="00E173FD" w:rsidP="009A06D6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</w:p>
    <w:p w:rsidR="002261DA" w:rsidRPr="00231DDE" w:rsidRDefault="002261DA" w:rsidP="002261DA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>: Zakon o prostornom uređenju, Zakon o zaštiti i očuvanju kulturnih dobara, Zakon o zaštiti okoliša i Zakon o zaštiti prirode.</w:t>
      </w:r>
    </w:p>
    <w:p w:rsidR="00F359C7" w:rsidRPr="00231DDE" w:rsidRDefault="00F359C7" w:rsidP="00BD5B5D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F359C7" w:rsidRPr="00231DDE" w:rsidRDefault="00F359C7" w:rsidP="00BA7A32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NOSITELJ AKTIVNOSTI:</w:t>
      </w:r>
      <w:r w:rsidR="00CE4888" w:rsidRPr="00231DDE">
        <w:rPr>
          <w:rFonts w:asciiTheme="minorHAnsi" w:hAnsiTheme="minorHAnsi" w:cstheme="minorHAnsi"/>
          <w:b/>
          <w:bCs/>
        </w:rPr>
        <w:t xml:space="preserve"> </w:t>
      </w:r>
      <w:r w:rsidR="005F1074" w:rsidRPr="00231DDE">
        <w:rPr>
          <w:rFonts w:asciiTheme="minorHAnsi" w:hAnsiTheme="minorHAnsi" w:cstheme="minorHAnsi"/>
        </w:rPr>
        <w:t>Dubrovačko-neretvanska županija</w:t>
      </w:r>
      <w:r w:rsidR="002261DA">
        <w:rPr>
          <w:rFonts w:asciiTheme="minorHAnsi" w:hAnsiTheme="minorHAnsi" w:cstheme="minorHAnsi"/>
        </w:rPr>
        <w:t xml:space="preserve"> -</w:t>
      </w:r>
      <w:r w:rsidR="003668E8" w:rsidRPr="00231DDE">
        <w:rPr>
          <w:rFonts w:asciiTheme="minorHAnsi" w:hAnsiTheme="minorHAnsi" w:cstheme="minorHAnsi"/>
        </w:rPr>
        <w:t xml:space="preserve"> Upravni odjel  za prostorno uređenje i gradnju.</w:t>
      </w: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4C1494" w:rsidRPr="00231DDE" w:rsidRDefault="00F359C7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</w:t>
      </w:r>
      <w:r w:rsidR="005F1074" w:rsidRPr="00231DDE">
        <w:rPr>
          <w:rFonts w:asciiTheme="minorHAnsi" w:hAnsiTheme="minorHAnsi" w:cstheme="minorHAnsi"/>
          <w:b/>
          <w:bCs/>
        </w:rPr>
        <w:t xml:space="preserve"> </w:t>
      </w:r>
      <w:r w:rsidRPr="00231DDE">
        <w:rPr>
          <w:rFonts w:asciiTheme="minorHAnsi" w:hAnsiTheme="minorHAnsi" w:cstheme="minorHAnsi"/>
          <w:b/>
          <w:bCs/>
        </w:rPr>
        <w:t>POTREBNIH SREDSTAVA ZA PROVOĐENJE PROGRAMA:</w:t>
      </w:r>
    </w:p>
    <w:p w:rsidR="004C1494" w:rsidRPr="00231DDE" w:rsidRDefault="004C1494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Planske veličine su određene u predloženim iznosima temeljem podataka iz prethodne proračunske godine</w:t>
      </w:r>
      <w:r w:rsidR="003668E8" w:rsidRPr="00231DDE">
        <w:rPr>
          <w:rFonts w:asciiTheme="minorHAnsi" w:hAnsiTheme="minorHAnsi" w:cstheme="minorHAnsi"/>
          <w:bCs/>
        </w:rPr>
        <w:t xml:space="preserve">. </w:t>
      </w:r>
    </w:p>
    <w:p w:rsidR="00F359C7" w:rsidRPr="00231DDE" w:rsidRDefault="00F359C7" w:rsidP="00962E92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806571" w:rsidRPr="00231DDE" w:rsidRDefault="00F359C7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806571" w:rsidRPr="00231DDE" w:rsidRDefault="00763807" w:rsidP="008C5F24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231DDE">
        <w:rPr>
          <w:rFonts w:asciiTheme="minorHAnsi" w:hAnsiTheme="minorHAnsi" w:cstheme="minorHAnsi"/>
          <w:sz w:val="22"/>
          <w:szCs w:val="22"/>
          <w:lang w:eastAsia="hr-HR"/>
        </w:rPr>
        <w:t>P</w:t>
      </w:r>
      <w:r w:rsidR="00806571" w:rsidRPr="00231DDE">
        <w:rPr>
          <w:rFonts w:asciiTheme="minorHAnsi" w:hAnsiTheme="minorHAnsi" w:cstheme="minorHAnsi"/>
          <w:sz w:val="22"/>
          <w:szCs w:val="22"/>
          <w:lang w:eastAsia="hr-HR"/>
        </w:rPr>
        <w:t>laniran</w:t>
      </w:r>
      <w:r w:rsidRPr="00231DDE">
        <w:rPr>
          <w:rFonts w:asciiTheme="minorHAnsi" w:hAnsiTheme="minorHAnsi" w:cstheme="minorHAnsi"/>
          <w:sz w:val="22"/>
          <w:szCs w:val="22"/>
          <w:lang w:eastAsia="hr-HR"/>
        </w:rPr>
        <w:t>a</w:t>
      </w:r>
      <w:r w:rsidR="00806571"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 sredstva utrošen</w:t>
      </w:r>
      <w:r w:rsidRPr="00231DDE">
        <w:rPr>
          <w:rFonts w:asciiTheme="minorHAnsi" w:hAnsiTheme="minorHAnsi" w:cstheme="minorHAnsi"/>
          <w:sz w:val="22"/>
          <w:szCs w:val="22"/>
          <w:lang w:eastAsia="hr-HR"/>
        </w:rPr>
        <w:t>a su</w:t>
      </w:r>
      <w:r w:rsidR="00806571"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 na </w:t>
      </w:r>
      <w:r w:rsidRPr="00231DDE">
        <w:rPr>
          <w:rFonts w:asciiTheme="minorHAnsi" w:hAnsiTheme="minorHAnsi" w:cstheme="minorHAnsi"/>
          <w:sz w:val="22"/>
          <w:szCs w:val="22"/>
          <w:lang w:eastAsia="hr-HR"/>
        </w:rPr>
        <w:t xml:space="preserve">plaće i ostale rashode za zaposlene kao i Materijalne rashode i opremu za provođenje redovitih programa Zavoda (izdavanje zahtjeva, mišljenja, ažuriranje web stranice Zavoda, obrada i slanje podataka za DPPR i ISPU itd kao i održavanje opreme, sustava elektroničkih komunikacija, rada Upravnog vijeća, računovoodstvenog servisa itd). </w:t>
      </w:r>
    </w:p>
    <w:p w:rsidR="00B2520A" w:rsidRPr="00231DDE" w:rsidRDefault="00B2520A" w:rsidP="008C5F2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359C7" w:rsidRPr="00231DDE" w:rsidRDefault="00F359C7" w:rsidP="00BA7A32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4625"/>
        <w:gridCol w:w="1653"/>
        <w:gridCol w:w="1985"/>
      </w:tblGrid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C326BA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PLAN 2022.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II. REBALANS 2022.</w:t>
            </w:r>
          </w:p>
        </w:tc>
      </w:tr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Plaće i ostali rashodi za zaposlene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1.971.350,00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2.041.350,00</w:t>
            </w:r>
          </w:p>
        </w:tc>
      </w:tr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326BA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Materijalni rashodi i oprema za provođenje programa JU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405.650,00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405.650,00</w:t>
            </w:r>
          </w:p>
        </w:tc>
      </w:tr>
      <w:tr w:rsidR="00472203" w:rsidRPr="00231DDE" w:rsidTr="00472203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C62C5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3A0F7F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2.377.000,00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2.447.000,00</w:t>
            </w:r>
          </w:p>
        </w:tc>
      </w:tr>
    </w:tbl>
    <w:p w:rsidR="00B2520A" w:rsidRPr="00231DDE" w:rsidRDefault="00B2520A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</w:p>
    <w:p w:rsidR="00F359C7" w:rsidRPr="00472203" w:rsidRDefault="00F359C7" w:rsidP="00AE1A1F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472203">
        <w:rPr>
          <w:rFonts w:asciiTheme="minorHAnsi" w:hAnsiTheme="minorHAnsi" w:cstheme="minorHAnsi"/>
          <w:b/>
          <w:bCs/>
        </w:rPr>
        <w:t>RAZLOG ODSTUPANJA OD PROŠLOGODIŠNJIH PROJEKCIJA</w:t>
      </w:r>
      <w:r w:rsidRPr="00472203">
        <w:rPr>
          <w:rFonts w:asciiTheme="minorHAnsi" w:hAnsiTheme="minorHAnsi" w:cstheme="minorHAnsi"/>
        </w:rPr>
        <w:t xml:space="preserve">: </w:t>
      </w:r>
    </w:p>
    <w:p w:rsidR="00472203" w:rsidRP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 w:rsidRPr="00472203">
        <w:rPr>
          <w:rFonts w:ascii="Calibri" w:eastAsia="Calibri" w:hAnsi="Calibri" w:cs="Calibri"/>
          <w:sz w:val="22"/>
          <w:szCs w:val="22"/>
          <w:lang w:eastAsia="hr-HR"/>
        </w:rPr>
        <w:t>Povećanje za zaposlene s obzirom na zakonske mogućnosti povećanja neoporezivog dijela</w:t>
      </w:r>
      <w:r w:rsidR="00E35D1C">
        <w:rPr>
          <w:rFonts w:ascii="Calibri" w:eastAsia="Calibri" w:hAnsi="Calibri" w:cs="Calibri"/>
          <w:sz w:val="22"/>
          <w:szCs w:val="22"/>
          <w:lang w:eastAsia="hr-HR"/>
        </w:rPr>
        <w:t xml:space="preserve"> </w:t>
      </w:r>
      <w:r w:rsidRPr="00472203">
        <w:rPr>
          <w:rFonts w:ascii="Calibri" w:eastAsia="Calibri" w:hAnsi="Calibri" w:cs="Calibri"/>
          <w:sz w:val="22"/>
          <w:szCs w:val="22"/>
          <w:lang w:eastAsia="hr-HR"/>
        </w:rPr>
        <w:t>dohotka sukladno Pravilniku o izmjenama i dopuni Pravilnika o porezu na dohodak (NN</w:t>
      </w:r>
    </w:p>
    <w:p w:rsidR="002261DA" w:rsidRPr="00472203" w:rsidRDefault="00472203" w:rsidP="00472203">
      <w:pPr>
        <w:jc w:val="left"/>
        <w:rPr>
          <w:rFonts w:asciiTheme="minorHAnsi" w:hAnsiTheme="minorHAnsi" w:cstheme="minorHAnsi"/>
          <w:sz w:val="22"/>
          <w:szCs w:val="22"/>
        </w:rPr>
      </w:pPr>
      <w:r w:rsidRPr="00472203">
        <w:rPr>
          <w:rFonts w:ascii="Calibri" w:eastAsia="Calibri" w:hAnsi="Calibri" w:cs="Calibri"/>
          <w:sz w:val="22"/>
          <w:szCs w:val="22"/>
          <w:lang w:eastAsia="hr-HR"/>
        </w:rPr>
        <w:t>112/22.)</w:t>
      </w:r>
      <w:r w:rsidR="002261DA" w:rsidRPr="00472203">
        <w:rPr>
          <w:rFonts w:asciiTheme="minorHAnsi" w:hAnsiTheme="minorHAnsi" w:cstheme="minorHAnsi"/>
          <w:sz w:val="22"/>
          <w:szCs w:val="22"/>
        </w:rPr>
        <w:br w:type="page"/>
      </w:r>
    </w:p>
    <w:p w:rsidR="0018665E" w:rsidRPr="00231DDE" w:rsidRDefault="0018665E" w:rsidP="0018665E">
      <w:pPr>
        <w:pStyle w:val="NoSpacing"/>
        <w:pBdr>
          <w:bottom w:val="single" w:sz="12" w:space="1" w:color="auto"/>
        </w:pBdr>
        <w:shd w:val="clear" w:color="auto" w:fill="FFFFFF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lastRenderedPageBreak/>
        <w:t>NAZIV PROGRAM</w:t>
      </w:r>
      <w:r w:rsidR="00570C9E" w:rsidRPr="00231DDE">
        <w:rPr>
          <w:rFonts w:asciiTheme="minorHAnsi" w:hAnsiTheme="minorHAnsi" w:cstheme="minorHAnsi"/>
          <w:b/>
          <w:bCs/>
        </w:rPr>
        <w:t>A: PROGRAM PROSTORNOG PLANIRANJA</w:t>
      </w:r>
      <w:r w:rsidR="00482093" w:rsidRPr="00231DDE">
        <w:rPr>
          <w:rFonts w:asciiTheme="minorHAnsi" w:hAnsiTheme="minorHAnsi" w:cstheme="minorHAnsi"/>
          <w:b/>
          <w:bCs/>
        </w:rPr>
        <w:t xml:space="preserve"> I ODRŽIVOG RAZVOJA</w:t>
      </w:r>
    </w:p>
    <w:p w:rsidR="0018665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2C73E2" w:rsidRPr="00231DDE" w:rsidRDefault="002C73E2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18665E" w:rsidRPr="00231DDE" w:rsidRDefault="0018665E" w:rsidP="0018665E">
      <w:pPr>
        <w:pStyle w:val="NoSpacing"/>
        <w:shd w:val="clear" w:color="auto" w:fill="FFFFFF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OPĆI CILJ:</w:t>
      </w:r>
      <w:r w:rsidR="00951FF9" w:rsidRPr="00231DDE">
        <w:rPr>
          <w:rFonts w:asciiTheme="minorHAnsi" w:hAnsiTheme="minorHAnsi" w:cstheme="minorHAnsi"/>
          <w:b/>
          <w:bCs/>
        </w:rPr>
        <w:t xml:space="preserve"> </w:t>
      </w:r>
      <w:r w:rsidRPr="00231DDE">
        <w:rPr>
          <w:rFonts w:asciiTheme="minorHAnsi" w:hAnsiTheme="minorHAnsi" w:cstheme="minorHAnsi"/>
        </w:rPr>
        <w:t xml:space="preserve">Obavljanje poslova koji su Zakonima stavljeni u nadležnost </w:t>
      </w:r>
      <w:r w:rsidR="00482093" w:rsidRPr="00231DDE">
        <w:rPr>
          <w:rFonts w:asciiTheme="minorHAnsi" w:hAnsiTheme="minorHAnsi" w:cstheme="minorHAnsi"/>
        </w:rPr>
        <w:t>Zavoda</w:t>
      </w:r>
      <w:r w:rsidR="002261DA">
        <w:rPr>
          <w:rFonts w:asciiTheme="minorHAnsi" w:hAnsiTheme="minorHAnsi" w:cstheme="minorHAnsi"/>
        </w:rPr>
        <w:t>.</w:t>
      </w:r>
    </w:p>
    <w:p w:rsidR="0018665E" w:rsidRPr="00231DD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 xml:space="preserve">POSEBNI CILJ: 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Izmjena i dopuna Prostornog plana DNŽ kao provedbenog plana.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PP NP Mljet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Stručno-analitičkih proslova za izradu PP IGP RH u JM</w:t>
      </w:r>
    </w:p>
    <w:p w:rsidR="00482093" w:rsidRDefault="00472203" w:rsidP="00472203">
      <w:pPr>
        <w:pStyle w:val="NoSpacing"/>
        <w:shd w:val="clear" w:color="auto" w:fill="FFFFFF"/>
        <w:jc w:val="both"/>
        <w:outlineLvl w:val="0"/>
        <w:rPr>
          <w:rFonts w:eastAsia="Calibri" w:cs="Calibri"/>
          <w:lang w:eastAsia="hr-HR"/>
        </w:rPr>
      </w:pPr>
      <w:r>
        <w:rPr>
          <w:rFonts w:eastAsia="Calibri" w:cs="Calibri"/>
          <w:lang w:eastAsia="hr-HR"/>
        </w:rPr>
        <w:t>Pomoći MPGI</w:t>
      </w:r>
    </w:p>
    <w:p w:rsidR="00472203" w:rsidRPr="00231DDE" w:rsidRDefault="00472203" w:rsidP="00472203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</w:p>
    <w:p w:rsidR="00E173FD" w:rsidRPr="00231DDE" w:rsidRDefault="00E173FD" w:rsidP="00E173FD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lang w:eastAsia="hr-HR"/>
        </w:rPr>
      </w:pPr>
      <w:r w:rsidRPr="00231DDE">
        <w:rPr>
          <w:rFonts w:asciiTheme="minorHAnsi" w:hAnsiTheme="minorHAnsi" w:cstheme="minorHAnsi"/>
          <w:b/>
          <w:lang w:eastAsia="hr-HR"/>
        </w:rPr>
        <w:t>POVEZANOST PROGRAMA SA STRATEŠKIM DOKUMENTOM</w:t>
      </w:r>
    </w:p>
    <w:p w:rsidR="00E173FD" w:rsidRPr="00231DDE" w:rsidRDefault="00E173FD" w:rsidP="00E173FD">
      <w:pPr>
        <w:pStyle w:val="NoSpacing"/>
        <w:shd w:val="clear" w:color="auto" w:fill="FFFFFF"/>
        <w:jc w:val="both"/>
        <w:rPr>
          <w:rFonts w:asciiTheme="minorHAnsi" w:hAnsiTheme="minorHAnsi" w:cstheme="minorHAnsi"/>
          <w:bCs/>
        </w:rPr>
      </w:pPr>
      <w:r w:rsidRPr="00231DDE">
        <w:rPr>
          <w:rFonts w:asciiTheme="minorHAnsi" w:hAnsiTheme="minorHAnsi" w:cstheme="minorHAnsi"/>
          <w:bCs/>
        </w:rPr>
        <w:t>Program prostornog planiranja zajedno sa pripadajućim aktivnostima u „Provedbenom programu Dubrovačko-neretvanske županije za razdoblje do 2025. godine“, iz prosinca 2021., spadaju pod cilj - 4.1. Razvoj sustava</w:t>
      </w:r>
      <w:r w:rsidR="00482093" w:rsidRPr="00231DDE">
        <w:rPr>
          <w:rFonts w:asciiTheme="minorHAnsi" w:hAnsiTheme="minorHAnsi" w:cstheme="minorHAnsi"/>
          <w:bCs/>
        </w:rPr>
        <w:t xml:space="preserve"> </w:t>
      </w:r>
      <w:r w:rsidRPr="00231DDE">
        <w:rPr>
          <w:rFonts w:asciiTheme="minorHAnsi" w:hAnsiTheme="minorHAnsi" w:cstheme="minorHAnsi"/>
          <w:bCs/>
        </w:rPr>
        <w:t>prostornog planiranja i upravljanja imovinom te jačanje kvalitete institucija u javnom sektoru, te mjeru  - 4.1.2. – Razvoj sustava prostornog planiranja i upravljanja imovinom.</w:t>
      </w:r>
    </w:p>
    <w:p w:rsidR="00E173FD" w:rsidRPr="00231DDE" w:rsidRDefault="00E173FD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  <w:lang w:eastAsia="hr-HR"/>
        </w:rPr>
      </w:pPr>
    </w:p>
    <w:p w:rsidR="0018665E" w:rsidRPr="00231DDE" w:rsidRDefault="0018665E" w:rsidP="002261DA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ZAKONSKE I DRUGE PODLOGE NA KOJIMA SE PROGRAM ZASNIVA</w:t>
      </w:r>
      <w:r w:rsidRPr="00231DDE">
        <w:rPr>
          <w:rFonts w:asciiTheme="minorHAnsi" w:hAnsiTheme="minorHAnsi" w:cstheme="minorHAnsi"/>
        </w:rPr>
        <w:t xml:space="preserve">: Zakon o prostornom uređenju, </w:t>
      </w:r>
      <w:r w:rsidR="00482093" w:rsidRPr="00231DDE">
        <w:rPr>
          <w:rFonts w:asciiTheme="minorHAnsi" w:hAnsiTheme="minorHAnsi" w:cstheme="minorHAnsi"/>
        </w:rPr>
        <w:t xml:space="preserve">Zakon o zaštiti i očuvanju kulturnih dobara, </w:t>
      </w:r>
      <w:r w:rsidRPr="00231DDE">
        <w:rPr>
          <w:rFonts w:asciiTheme="minorHAnsi" w:hAnsiTheme="minorHAnsi" w:cstheme="minorHAnsi"/>
        </w:rPr>
        <w:t>Zakon o zaštiti okoliša i Zakon o zaštiti prirode.</w:t>
      </w:r>
    </w:p>
    <w:p w:rsidR="0018665E" w:rsidRPr="00231DDE" w:rsidRDefault="0018665E" w:rsidP="0018665E">
      <w:pPr>
        <w:pStyle w:val="NoSpacing"/>
        <w:shd w:val="clear" w:color="auto" w:fill="FFFFFF"/>
        <w:tabs>
          <w:tab w:val="left" w:pos="1643"/>
        </w:tabs>
        <w:jc w:val="both"/>
        <w:rPr>
          <w:rFonts w:asciiTheme="minorHAnsi" w:hAnsiTheme="minorHAnsi" w:cstheme="minorHAnsi"/>
        </w:rPr>
      </w:pPr>
    </w:p>
    <w:p w:rsidR="00472203" w:rsidRPr="00472203" w:rsidRDefault="00472203" w:rsidP="00472203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Calibri-Bold" w:eastAsia="Calibri" w:hAnsi="Calibri-Bold" w:cs="Calibri-Bold"/>
          <w:lang w:eastAsia="hr-HR"/>
        </w:rPr>
      </w:pPr>
      <w:r w:rsidRPr="00472203">
        <w:rPr>
          <w:rFonts w:ascii="Calibri-Bold" w:eastAsia="Calibri" w:hAnsi="Calibri-Bold" w:cs="Calibri-Bold"/>
          <w:b/>
          <w:bCs/>
          <w:lang w:eastAsia="hr-HR"/>
        </w:rPr>
        <w:t xml:space="preserve">NOSITELJ AKTIVNOSTI: </w:t>
      </w:r>
      <w:r w:rsidRPr="00472203">
        <w:rPr>
          <w:rFonts w:ascii="Calibri-Bold" w:eastAsia="Calibri" w:hAnsi="Calibri-Bold" w:cs="Calibri-Bold"/>
          <w:lang w:eastAsia="hr-HR"/>
        </w:rPr>
        <w:t>Dubrovačko-neretvanska županija - Upravni odjel za prostorno uređenje i</w:t>
      </w:r>
    </w:p>
    <w:p w:rsidR="00472203" w:rsidRPr="00472203" w:rsidRDefault="00472203" w:rsidP="00472203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="Calibri-Bold" w:eastAsia="Calibri" w:hAnsi="Calibri-Bold" w:cs="Calibri-Bold"/>
          <w:lang w:eastAsia="hr-HR"/>
        </w:rPr>
      </w:pPr>
      <w:r w:rsidRPr="00472203">
        <w:rPr>
          <w:rFonts w:ascii="Calibri-Bold" w:eastAsia="Calibri" w:hAnsi="Calibri-Bold" w:cs="Calibri-Bold"/>
          <w:lang w:eastAsia="hr-HR"/>
        </w:rPr>
        <w:t>gradnju, MPGI – Zavod za prostorni razvoj.</w:t>
      </w:r>
    </w:p>
    <w:p w:rsidR="00472203" w:rsidRPr="00231DDE" w:rsidRDefault="00472203" w:rsidP="00472203">
      <w:pPr>
        <w:pStyle w:val="NoSpacing"/>
        <w:shd w:val="clear" w:color="auto" w:fill="FFFFFF"/>
        <w:tabs>
          <w:tab w:val="left" w:pos="1643"/>
        </w:tabs>
        <w:jc w:val="both"/>
        <w:outlineLvl w:val="0"/>
        <w:rPr>
          <w:rFonts w:asciiTheme="minorHAnsi" w:hAnsiTheme="minorHAnsi" w:cstheme="minorHAnsi"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ISHODIŠTE I POKAZATELJI NA KOJIMA SE ZASNIVAJU IZRAČUNI I OCJENE POTREBNIH SREDSTAVA ZA PROVOĐENJE PROGRAMA: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Planske veličine su određene u predloženim iznosima temeljem raspoloživih limita planiranih za</w:t>
      </w:r>
    </w:p>
    <w:p w:rsidR="0087505B" w:rsidRP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izmjene i dopune Prostornog plana DNŽ (DNŽ), PP NP Mljet, Stručno-analitičku podlogu za IGP te Pomoći.</w:t>
      </w:r>
      <w:r>
        <w:rPr>
          <w:rFonts w:eastAsia="Calibri" w:cs="Calibri"/>
          <w:lang w:eastAsia="hr-HR"/>
        </w:rPr>
        <w:t>)</w:t>
      </w:r>
    </w:p>
    <w:p w:rsidR="0018665E" w:rsidRPr="00231DD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</w:rPr>
      </w:pPr>
    </w:p>
    <w:p w:rsidR="00806571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IZVJEŠTAJ O POSTIGNUTIM CILJEVIMA I REZULTATIMA PROGRAMA TEMELJENIM NA POKAZATELJIMA USPJEŠNOSTI U PRETHODNOJ GODINI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Izrada Izvješća o stanju u prostoru, priprema i izrada Odluke o izradi IDPPDNŽ, priprema analitičkih</w:t>
      </w:r>
    </w:p>
    <w:p w:rsid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Calibri" w:eastAsia="Calibri" w:hAnsi="Calibri" w:cs="Calibri"/>
          <w:sz w:val="22"/>
          <w:szCs w:val="22"/>
          <w:lang w:eastAsia="hr-HR"/>
        </w:rPr>
        <w:t>karata za IDPPŽ; izrada naručenih studija, izrada Kataloga sklopova u naseljima, izrada Izvješća i</w:t>
      </w:r>
    </w:p>
    <w:p w:rsidR="0018665E" w:rsidRDefault="00472203" w:rsidP="00472203">
      <w:pPr>
        <w:pStyle w:val="NoSpacing"/>
        <w:shd w:val="clear" w:color="auto" w:fill="FFFFFF"/>
        <w:jc w:val="both"/>
        <w:rPr>
          <w:rFonts w:eastAsia="Calibri" w:cs="Calibri"/>
          <w:lang w:eastAsia="hr-HR"/>
        </w:rPr>
      </w:pPr>
      <w:r>
        <w:rPr>
          <w:rFonts w:eastAsia="Calibri" w:cs="Calibri"/>
          <w:lang w:eastAsia="hr-HR"/>
        </w:rPr>
        <w:t>kartografskih prikaza prikupljnih podataka...</w:t>
      </w:r>
    </w:p>
    <w:p w:rsidR="00472203" w:rsidRPr="00231DDE" w:rsidRDefault="00472203" w:rsidP="00472203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outlineLvl w:val="0"/>
        <w:rPr>
          <w:rFonts w:asciiTheme="minorHAnsi" w:hAnsiTheme="minorHAnsi" w:cstheme="minorHAnsi"/>
          <w:b/>
          <w:bCs/>
        </w:rPr>
      </w:pPr>
      <w:r w:rsidRPr="00231DDE">
        <w:rPr>
          <w:rFonts w:asciiTheme="minorHAnsi" w:hAnsiTheme="minorHAnsi" w:cstheme="minorHAnsi"/>
          <w:b/>
          <w:bCs/>
        </w:rPr>
        <w:t>NAČIN I SREDSTVA ZA REALIZACIJU PROGRAMA: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8"/>
        <w:gridCol w:w="4520"/>
        <w:gridCol w:w="1763"/>
        <w:gridCol w:w="2126"/>
      </w:tblGrid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9F140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Rb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9F1409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Naziv aktivnosti / projekta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PLAN 2022.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2203" w:rsidRPr="00231DDE" w:rsidRDefault="00472203" w:rsidP="005B388C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II. REBALANS 2022.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IDPPDNŽ – stručna podloga – analize i ocjene postojećeg stanja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100.000,00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Prostorni plan NP Mljet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377.400,00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377.400,00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IGP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504.000,00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504.000,00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4.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9F1409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ISPU i DPPR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40.000,00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82.526,00</w:t>
            </w:r>
          </w:p>
        </w:tc>
      </w:tr>
      <w:tr w:rsidR="00472203" w:rsidRPr="00231DDE" w:rsidTr="00472203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6736E2">
            <w:pPr>
              <w:pStyle w:val="NoSpacing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C7967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231DDE">
              <w:rPr>
                <w:rFonts w:asciiTheme="minorHAnsi" w:hAnsiTheme="minorHAnsi" w:cstheme="minorHAnsi"/>
                <w:b/>
                <w:bCs/>
              </w:rPr>
              <w:t>Ukupno program: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472203" w:rsidP="00CC7967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-Bold" w:eastAsia="Calibri" w:hAnsi="Calibri-Bold" w:cs="Calibri-Bold"/>
                <w:b/>
                <w:bCs/>
                <w:lang w:eastAsia="hr-HR"/>
              </w:rPr>
              <w:t>1</w:t>
            </w:r>
            <w:r w:rsidR="00FC4449">
              <w:rPr>
                <w:rFonts w:ascii="Calibri-Bold" w:eastAsia="Calibri" w:hAnsi="Calibri-Bold" w:cs="Calibri-Bold"/>
                <w:b/>
                <w:bCs/>
                <w:lang w:eastAsia="hr-HR"/>
              </w:rPr>
              <w:t>.021.400,00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203" w:rsidRPr="00231DDE" w:rsidRDefault="00FC4449" w:rsidP="00CC7967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1.063.926,00</w:t>
            </w:r>
          </w:p>
        </w:tc>
      </w:tr>
    </w:tbl>
    <w:p w:rsidR="0018665E" w:rsidRPr="00231DDE" w:rsidRDefault="0018665E" w:rsidP="0018665E">
      <w:pPr>
        <w:pStyle w:val="NoSpacing"/>
        <w:shd w:val="clear" w:color="auto" w:fill="FFFFFF"/>
        <w:rPr>
          <w:rFonts w:asciiTheme="minorHAnsi" w:hAnsiTheme="minorHAnsi" w:cstheme="minorHAnsi"/>
          <w:b/>
          <w:bCs/>
        </w:rPr>
      </w:pPr>
    </w:p>
    <w:p w:rsidR="0018665E" w:rsidRPr="00231DDE" w:rsidRDefault="0018665E" w:rsidP="0018665E">
      <w:pPr>
        <w:pStyle w:val="NoSpacing"/>
        <w:shd w:val="clear" w:color="auto" w:fill="FFFFFF"/>
        <w:jc w:val="both"/>
        <w:rPr>
          <w:rFonts w:asciiTheme="minorHAnsi" w:hAnsiTheme="minorHAnsi" w:cstheme="minorHAnsi"/>
        </w:rPr>
      </w:pPr>
      <w:r w:rsidRPr="00231DDE">
        <w:rPr>
          <w:rFonts w:asciiTheme="minorHAnsi" w:hAnsiTheme="minorHAnsi" w:cstheme="minorHAnsi"/>
          <w:b/>
          <w:bCs/>
        </w:rPr>
        <w:t>RAZLOG ODSTUPANJA OD PROŠLOGODIŠNJIH PROJEKCIJA</w:t>
      </w:r>
      <w:r w:rsidRPr="00231DDE">
        <w:rPr>
          <w:rFonts w:asciiTheme="minorHAnsi" w:hAnsiTheme="minorHAnsi" w:cstheme="minorHAnsi"/>
        </w:rPr>
        <w:t xml:space="preserve">: </w:t>
      </w:r>
      <w:r w:rsidR="00C254D8" w:rsidRPr="00231DDE">
        <w:rPr>
          <w:rFonts w:asciiTheme="minorHAnsi" w:hAnsiTheme="minorHAnsi" w:cstheme="minorHAnsi"/>
        </w:rPr>
        <w:t xml:space="preserve"> </w:t>
      </w:r>
      <w:r w:rsidR="006736E2" w:rsidRPr="00231DDE">
        <w:rPr>
          <w:rFonts w:asciiTheme="minorHAnsi" w:hAnsiTheme="minorHAnsi" w:cstheme="minorHAnsi"/>
        </w:rPr>
        <w:t xml:space="preserve">  </w:t>
      </w:r>
    </w:p>
    <w:p w:rsidR="0018665E" w:rsidRPr="00472203" w:rsidRDefault="00472203" w:rsidP="00472203">
      <w:pPr>
        <w:autoSpaceDE w:val="0"/>
        <w:autoSpaceDN w:val="0"/>
        <w:adjustRightInd w:val="0"/>
        <w:jc w:val="left"/>
        <w:rPr>
          <w:rFonts w:ascii="Calibri" w:eastAsia="Calibri" w:hAnsi="Calibri" w:cs="Calibri"/>
          <w:sz w:val="22"/>
          <w:szCs w:val="22"/>
          <w:lang w:eastAsia="hr-HR"/>
        </w:rPr>
      </w:pPr>
      <w:r>
        <w:rPr>
          <w:rFonts w:ascii="SymbolMT" w:eastAsia="Calibri" w:hAnsi="SymbolMT" w:cs="SymbolMT"/>
          <w:sz w:val="22"/>
          <w:szCs w:val="22"/>
          <w:lang w:eastAsia="hr-HR"/>
        </w:rPr>
        <w:t xml:space="preserve">− </w:t>
      </w:r>
      <w:r>
        <w:rPr>
          <w:rFonts w:ascii="Calibri" w:eastAsia="Calibri" w:hAnsi="Calibri" w:cs="Calibri"/>
          <w:sz w:val="22"/>
          <w:szCs w:val="22"/>
          <w:lang w:eastAsia="hr-HR"/>
        </w:rPr>
        <w:t>MPGI- Zavod za prostorni razvoj tek na kraju godine obračunava iznos koji je u mogućnosti dostaviti zavodu. Planiramo ga cca 40.000,00 ali na kraju smo dobili 82.526,00 Kuna.</w:t>
      </w:r>
    </w:p>
    <w:sectPr w:rsidR="0018665E" w:rsidRPr="00472203" w:rsidSect="00BE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B39" w:rsidRDefault="00935B39" w:rsidP="00BD5B5D">
      <w:r>
        <w:separator/>
      </w:r>
    </w:p>
  </w:endnote>
  <w:endnote w:type="continuationSeparator" w:id="0">
    <w:p w:rsidR="00935B39" w:rsidRDefault="00935B39" w:rsidP="00BD5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B39" w:rsidRDefault="00935B39" w:rsidP="00BD5B5D">
      <w:r>
        <w:separator/>
      </w:r>
    </w:p>
  </w:footnote>
  <w:footnote w:type="continuationSeparator" w:id="0">
    <w:p w:rsidR="00935B39" w:rsidRDefault="00935B39" w:rsidP="00BD5B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D4F"/>
    <w:multiLevelType w:val="hybridMultilevel"/>
    <w:tmpl w:val="E1C287AE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A07F44"/>
    <w:multiLevelType w:val="hybridMultilevel"/>
    <w:tmpl w:val="3D2A039A"/>
    <w:lvl w:ilvl="0" w:tplc="5F98E91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A35237"/>
    <w:multiLevelType w:val="hybridMultilevel"/>
    <w:tmpl w:val="99000F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E4657"/>
    <w:multiLevelType w:val="hybridMultilevel"/>
    <w:tmpl w:val="04B2767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AC3171"/>
    <w:multiLevelType w:val="hybridMultilevel"/>
    <w:tmpl w:val="E95878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C2EC6"/>
    <w:multiLevelType w:val="hybridMultilevel"/>
    <w:tmpl w:val="CA00FEB6"/>
    <w:lvl w:ilvl="0" w:tplc="0660F500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9724BF40">
      <w:numFmt w:val="bullet"/>
      <w:lvlText w:val="-"/>
      <w:lvlJc w:val="left"/>
      <w:pPr>
        <w:tabs>
          <w:tab w:val="num" w:pos="1635"/>
        </w:tabs>
        <w:ind w:left="1635" w:hanging="555"/>
      </w:pPr>
      <w:rPr>
        <w:rFonts w:ascii="Arial" w:eastAsia="Times New Roman" w:hAnsi="Arial" w:cs="Aria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9461A"/>
    <w:multiLevelType w:val="hybridMultilevel"/>
    <w:tmpl w:val="FBF0B650"/>
    <w:lvl w:ilvl="0" w:tplc="F1DE69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7E509A"/>
    <w:multiLevelType w:val="hybridMultilevel"/>
    <w:tmpl w:val="C59467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12C"/>
    <w:multiLevelType w:val="hybridMultilevel"/>
    <w:tmpl w:val="EAAA3AE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F1525CA"/>
    <w:multiLevelType w:val="hybridMultilevel"/>
    <w:tmpl w:val="F0D0EB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962E92"/>
    <w:rsid w:val="00003420"/>
    <w:rsid w:val="00075CDF"/>
    <w:rsid w:val="00094022"/>
    <w:rsid w:val="00094E19"/>
    <w:rsid w:val="000A4036"/>
    <w:rsid w:val="000C4B66"/>
    <w:rsid w:val="000E7126"/>
    <w:rsid w:val="001151D9"/>
    <w:rsid w:val="0011710E"/>
    <w:rsid w:val="0013638B"/>
    <w:rsid w:val="0018665E"/>
    <w:rsid w:val="002123DE"/>
    <w:rsid w:val="0022489A"/>
    <w:rsid w:val="002261DA"/>
    <w:rsid w:val="00231DDE"/>
    <w:rsid w:val="0028323A"/>
    <w:rsid w:val="002A7DB5"/>
    <w:rsid w:val="002C73E2"/>
    <w:rsid w:val="002D44F0"/>
    <w:rsid w:val="002D4882"/>
    <w:rsid w:val="002D4FDE"/>
    <w:rsid w:val="002E1F3B"/>
    <w:rsid w:val="002E285A"/>
    <w:rsid w:val="002F0467"/>
    <w:rsid w:val="002F052A"/>
    <w:rsid w:val="00322895"/>
    <w:rsid w:val="003668E8"/>
    <w:rsid w:val="003754D3"/>
    <w:rsid w:val="003A0001"/>
    <w:rsid w:val="003A0F7F"/>
    <w:rsid w:val="003C3045"/>
    <w:rsid w:val="003D04BE"/>
    <w:rsid w:val="003D2337"/>
    <w:rsid w:val="003D7583"/>
    <w:rsid w:val="003E4307"/>
    <w:rsid w:val="00404E29"/>
    <w:rsid w:val="00417BEC"/>
    <w:rsid w:val="00435CDE"/>
    <w:rsid w:val="00436FAC"/>
    <w:rsid w:val="00455C3E"/>
    <w:rsid w:val="00467349"/>
    <w:rsid w:val="00472203"/>
    <w:rsid w:val="00482093"/>
    <w:rsid w:val="00483051"/>
    <w:rsid w:val="004C1494"/>
    <w:rsid w:val="004C45F1"/>
    <w:rsid w:val="004D5498"/>
    <w:rsid w:val="004F6855"/>
    <w:rsid w:val="004F7A49"/>
    <w:rsid w:val="005103E9"/>
    <w:rsid w:val="00513F4C"/>
    <w:rsid w:val="005617FE"/>
    <w:rsid w:val="00570C9E"/>
    <w:rsid w:val="005B36AD"/>
    <w:rsid w:val="005B388C"/>
    <w:rsid w:val="005F1074"/>
    <w:rsid w:val="00631A61"/>
    <w:rsid w:val="00655478"/>
    <w:rsid w:val="00661205"/>
    <w:rsid w:val="006736E2"/>
    <w:rsid w:val="006C62C5"/>
    <w:rsid w:val="006D1C74"/>
    <w:rsid w:val="006D4F2F"/>
    <w:rsid w:val="00763807"/>
    <w:rsid w:val="0079212C"/>
    <w:rsid w:val="007A2FA5"/>
    <w:rsid w:val="00806571"/>
    <w:rsid w:val="00814A30"/>
    <w:rsid w:val="0081590C"/>
    <w:rsid w:val="00816F9E"/>
    <w:rsid w:val="00831BCA"/>
    <w:rsid w:val="0087505B"/>
    <w:rsid w:val="008863DE"/>
    <w:rsid w:val="00896B7E"/>
    <w:rsid w:val="008A377B"/>
    <w:rsid w:val="008C3B97"/>
    <w:rsid w:val="008C5F24"/>
    <w:rsid w:val="008E0883"/>
    <w:rsid w:val="00907B4B"/>
    <w:rsid w:val="00935B39"/>
    <w:rsid w:val="00951FF9"/>
    <w:rsid w:val="00962E92"/>
    <w:rsid w:val="00971142"/>
    <w:rsid w:val="009728AC"/>
    <w:rsid w:val="00974B0E"/>
    <w:rsid w:val="009753C4"/>
    <w:rsid w:val="009A06D6"/>
    <w:rsid w:val="009A7462"/>
    <w:rsid w:val="009C48B4"/>
    <w:rsid w:val="009F1409"/>
    <w:rsid w:val="009F305F"/>
    <w:rsid w:val="00AB79CE"/>
    <w:rsid w:val="00AC1DA1"/>
    <w:rsid w:val="00AE1A1F"/>
    <w:rsid w:val="00B2520A"/>
    <w:rsid w:val="00B343C0"/>
    <w:rsid w:val="00B47BE3"/>
    <w:rsid w:val="00B733DA"/>
    <w:rsid w:val="00BA0646"/>
    <w:rsid w:val="00BA52BC"/>
    <w:rsid w:val="00BA7A32"/>
    <w:rsid w:val="00BB1D5D"/>
    <w:rsid w:val="00BD5B5D"/>
    <w:rsid w:val="00BE5695"/>
    <w:rsid w:val="00C1481B"/>
    <w:rsid w:val="00C254D8"/>
    <w:rsid w:val="00C326BA"/>
    <w:rsid w:val="00C5721C"/>
    <w:rsid w:val="00CB3F8F"/>
    <w:rsid w:val="00CB4FD1"/>
    <w:rsid w:val="00CB75E5"/>
    <w:rsid w:val="00CE4888"/>
    <w:rsid w:val="00D45E30"/>
    <w:rsid w:val="00D6669A"/>
    <w:rsid w:val="00DD667F"/>
    <w:rsid w:val="00DE42E1"/>
    <w:rsid w:val="00E014F2"/>
    <w:rsid w:val="00E173FD"/>
    <w:rsid w:val="00E35D1C"/>
    <w:rsid w:val="00E77041"/>
    <w:rsid w:val="00E83AF0"/>
    <w:rsid w:val="00EB2767"/>
    <w:rsid w:val="00EC6345"/>
    <w:rsid w:val="00F359C7"/>
    <w:rsid w:val="00F61B84"/>
    <w:rsid w:val="00F66669"/>
    <w:rsid w:val="00F771B2"/>
    <w:rsid w:val="00F80C82"/>
    <w:rsid w:val="00FC0277"/>
    <w:rsid w:val="00FC1256"/>
    <w:rsid w:val="00FC29CD"/>
    <w:rsid w:val="00FC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E92"/>
    <w:pPr>
      <w:jc w:val="center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locked/>
    <w:rsid w:val="00962E92"/>
    <w:rPr>
      <w:sz w:val="22"/>
      <w:lang w:val="hr-HR" w:eastAsia="en-US"/>
    </w:rPr>
  </w:style>
  <w:style w:type="table" w:styleId="TableGrid">
    <w:name w:val="Table Grid"/>
    <w:basedOn w:val="TableNormal"/>
    <w:rsid w:val="00962E92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BD5B5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BD5B5D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BA7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3D2337"/>
    <w:rPr>
      <w:rFonts w:ascii="Times New Roman" w:hAnsi="Times New Roman" w:cs="Times New Roman"/>
      <w:sz w:val="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F77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71B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t-9-8">
    <w:name w:val="t-9-8"/>
    <w:basedOn w:val="Normal"/>
    <w:rsid w:val="00FC1256"/>
    <w:pPr>
      <w:suppressAutoHyphens/>
      <w:spacing w:before="280" w:after="280"/>
      <w:jc w:val="left"/>
    </w:pPr>
    <w:rPr>
      <w:lang w:eastAsia="zh-CN"/>
    </w:rPr>
  </w:style>
  <w:style w:type="paragraph" w:customStyle="1" w:styleId="clanak">
    <w:name w:val="clanak"/>
    <w:basedOn w:val="Normal"/>
    <w:rsid w:val="00FC1256"/>
    <w:pPr>
      <w:spacing w:before="100" w:beforeAutospacing="1" w:after="100" w:afterAutospacing="1"/>
      <w:jc w:val="left"/>
    </w:pPr>
    <w:rPr>
      <w:lang w:val="en-US" w:eastAsia="hr-HR"/>
    </w:rPr>
  </w:style>
  <w:style w:type="paragraph" w:styleId="ListParagraph">
    <w:name w:val="List Paragraph"/>
    <w:basedOn w:val="Normal"/>
    <w:uiPriority w:val="34"/>
    <w:qFormat/>
    <w:rsid w:val="00231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NAZIV KORISNIKA: UPRAVNI ODJEL ZA</vt:lpstr>
      <vt:lpstr>NAZIV KORISNIKA: UPRAVNI ODJEL ZA</vt:lpstr>
    </vt:vector>
  </TitlesOfParts>
  <Company>&lt;arabianhorse&gt;</Company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 UPRAVNI ODJEL ZA</dc:title>
  <dc:creator>DRAGICA</dc:creator>
  <cp:lastModifiedBy>IVA</cp:lastModifiedBy>
  <cp:revision>5</cp:revision>
  <cp:lastPrinted>2022-10-19T06:59:00Z</cp:lastPrinted>
  <dcterms:created xsi:type="dcterms:W3CDTF">2022-12-01T09:18:00Z</dcterms:created>
  <dcterms:modified xsi:type="dcterms:W3CDTF">2022-12-02T12:05:00Z</dcterms:modified>
</cp:coreProperties>
</file>